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val="0"/>
        <w:suppressLineNumbers w:val="0"/>
        <w:spacing w:before="0" w:beforeAutospacing="0" w:after="0" w:afterAutospacing="0"/>
        <w:ind w:left="0" w:right="0"/>
        <w:jc w:val="center"/>
        <w:rPr>
          <w:rStyle w:val="Strong"/>
          <w:rFonts w:ascii="黑体" w:eastAsia="黑体" w:hAnsi="宋体" w:cs="黑体" w:hint="eastAsia"/>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Strong"/>
          <w:rFonts w:ascii="黑体" w:eastAsia="黑体" w:hAnsi="宋体" w:cs="黑体" w:hint="eastAsia"/>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Strong"/>
          <w:rFonts w:ascii="黑体" w:eastAsia="黑体" w:hAnsi="宋体" w:cs="黑体" w:hint="eastAsia"/>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Strong"/>
          <w:rFonts w:ascii="黑体" w:eastAsia="黑体" w:hAnsi="宋体" w:cs="黑体" w:hint="eastAsia"/>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Strong"/>
          <w:rFonts w:ascii="黑体" w:eastAsia="黑体" w:hAnsi="宋体" w:cs="黑体" w:hint="eastAsia"/>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Strong"/>
          <w:rFonts w:ascii="黑体" w:eastAsia="黑体" w:hAnsi="宋体" w:cs="黑体" w:hint="eastAsia"/>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Strong"/>
          <w:rFonts w:ascii="黑体" w:eastAsia="黑体" w:hAnsi="宋体" w:cs="黑体" w:hint="eastAsia"/>
          <w:i w:val="0"/>
          <w:iCs w:val="0"/>
          <w:caps w:val="0"/>
          <w:color w:val="333333"/>
          <w:spacing w:val="0"/>
          <w:sz w:val="44"/>
          <w:szCs w:val="44"/>
          <w:highlight w:val="none"/>
          <w:lang w:eastAsia="zh-CN"/>
        </w:rPr>
      </w:pPr>
    </w:p>
    <w:p>
      <w:pPr>
        <w:bidi w:val="0"/>
        <w:jc w:val="center"/>
        <w:rPr>
          <w:rFonts w:ascii="黑体" w:eastAsia="黑体" w:hAnsi="黑体" w:cs="黑体" w:hint="eastAsia"/>
          <w:sz w:val="44"/>
          <w:szCs w:val="44"/>
        </w:rPr>
      </w:pPr>
      <w:bookmarkStart w:id="0" w:name="_Toc25539"/>
      <w:r>
        <w:rPr>
          <w:rFonts w:ascii="黑体" w:eastAsia="黑体" w:hAnsi="黑体" w:cs="黑体" w:hint="eastAsia"/>
          <w:sz w:val="44"/>
          <w:szCs w:val="44"/>
          <w:lang w:eastAsia="zh-CN"/>
        </w:rPr>
        <w:t xml:space="preserve">衢州市财政国库支付中心</w:t>
      </w:r>
      <w:r>
        <w:rPr>
          <w:rFonts w:ascii="黑体" w:eastAsia="黑体" w:hAnsi="黑体" w:cs="黑体" w:hint="eastAsia"/>
          <w:sz w:val="44"/>
          <w:szCs w:val="44"/>
          <w:lang w:eastAsia="zh-CN"/>
        </w:rPr>
        <w:t xml:space="preserve">2023</w:t>
      </w:r>
      <w:r>
        <w:rPr>
          <w:rFonts w:ascii="黑体" w:eastAsia="黑体" w:hAnsi="黑体" w:cs="黑体" w:hint="eastAsia"/>
          <w:sz w:val="44"/>
          <w:szCs w:val="44"/>
        </w:rPr>
        <w:t xml:space="preserve">年度单位决算</w:t>
      </w:r>
      <w:bookmarkEnd w:id="0"/>
    </w:p>
    <w:p>
      <w:pPr>
        <w:rPr>
          <w:rStyle w:val="Strong"/>
          <w:rFonts w:ascii="仿宋" w:eastAsia="仿宋" w:hAnsi="仿宋" w:cs="仿宋" w:hint="eastAsia"/>
          <w:b/>
          <w:bCs w:val="0"/>
          <w:i w:val="0"/>
          <w:iCs w:val="0"/>
          <w:caps w:val="0"/>
          <w:color w:val="333333"/>
          <w:spacing w:val="0"/>
          <w:sz w:val="44"/>
          <w:szCs w:val="44"/>
          <w:highlight w:val="none"/>
        </w:rPr>
      </w:pPr>
      <w:r>
        <w:br w:type="page"/>
      </w:r>
    </w:p>
    <w:p>
      <w:pPr>
        <w:pStyle w:val="Normal(Web)"/>
        <w:keepNext w:val="0"/>
        <w:keepLines w:val="0"/>
        <w:widowControl/>
        <w:suppressLineNumbers w:val="0"/>
        <w:ind w:left="0" w:firstLine="0"/>
        <w:jc w:val="both"/>
        <w:rPr>
          <w:rStyle w:val="Strong"/>
          <w:rFonts w:ascii="仿宋" w:eastAsia="仿宋" w:hAnsi="仿宋" w:cs="仿宋" w:hint="eastAsia"/>
          <w:b/>
          <w:bCs w:val="0"/>
          <w:i w:val="0"/>
          <w:iCs w:val="0"/>
          <w:caps w:val="0"/>
          <w:color w:val="333333"/>
          <w:spacing w:val="0"/>
          <w:sz w:val="44"/>
          <w:szCs w:val="44"/>
          <w:highlight w:val="none"/>
        </w:rPr>
        <w:sectPr>
          <w:pgSz w:w="11906" w:h="16838" w:orient="portrait"/>
          <w:pgMar w:top="1440" w:right="1800" w:bottom="1440" w:left="1800" w:header="851" w:footer="992" w:gutter="0"/>
          <w:pgBorders/>
          <w:pgNumType w:fmt="decimal"/>
          <w:cols w:num="1" w:space="425">
            <w:col w:w="8306" w:space="425"/>
          </w:cols>
          <w:docGrid w:type="lines" w:linePitch="312" w:charSpace="0"/>
        </w:sectPr>
      </w:pPr>
    </w:p>
    <w:p>
      <w:pPr>
        <w:pStyle w:val="Normal(Web)"/>
        <w:keepNext w:val="0"/>
        <w:keepLines w:val="0"/>
        <w:widowControl/>
        <w:suppressLineNumbers w:val="0"/>
        <w:ind w:left="0" w:firstLine="0"/>
        <w:jc w:val="both"/>
        <w:rPr>
          <w:rStyle w:val="Strong"/>
          <w:rFonts w:ascii="仿宋" w:eastAsia="仿宋" w:hAnsi="仿宋" w:cs="仿宋" w:hint="eastAsia"/>
          <w:b/>
          <w:bCs w:val="0"/>
          <w:i w:val="0"/>
          <w:iCs w:val="0"/>
          <w:caps w:val="0"/>
          <w:color w:val="333333"/>
          <w:spacing w:val="0"/>
          <w:sz w:val="44"/>
          <w:szCs w:val="44"/>
          <w:highlight w:val="none"/>
        </w:rPr>
      </w:pPr>
    </w:p>
    <w:sdt>
      <w:sdtPr>
        <w:rPr>
          <w:rFonts w:ascii="宋体" w:eastAsia="宋体" w:hAnsi="宋体" w:cs="Arial" w:cstheme="minorBidi"/>
          <w:b/>
          <w:bCs/>
          <w:kern w:val="2"/>
          <w:sz w:val="32"/>
          <w:szCs w:val="40"/>
          <w:lang w:val="en-US" w:eastAsia="zh-CN" w:bidi="ar-SA"/>
        </w:rPr>
        <w:id w:val="147464394"/>
        <w:docPartObj>
          <w:docPartGallery w:val="Table of Contents"/>
          <w:docPartUnique/>
        </w:docPartObj>
      </w:sdtPr>
      <w:sdtEndPr>
        <w:rPr>
          <w:rFonts w:ascii="Arial" w:eastAsia="Arial" w:hAnsi="Arial" w:cs="Arial" w:hint="default"/>
          <w:b/>
          <w:bCs/>
          <w:i w:val="0"/>
          <w:iCs w:val="0"/>
          <w:caps w:val="0"/>
          <w:color w:val="333333"/>
          <w:spacing w:val="0"/>
          <w:kern w:val="2"/>
          <w:sz w:val="21"/>
          <w:szCs w:val="13"/>
          <w:highlight w:val="none"/>
          <w:lang w:val="en-US" w:eastAsia="zh-CN" w:bidi="ar-SA"/>
        </w:rPr>
      </w:sdtEndPr>
      <w:sdtContent>
        <w:p>
          <w:pPr>
            <w:spacing w:before="0" w:beforeLines="0" w:after="0" w:afterLines="0" w:line="240" w:lineRule="auto"/>
            <w:ind w:left="0" w:right="0" w:firstLine="0" w:leftChars="0" w:rightChars="0" w:firstLineChars="0"/>
            <w:jc w:val="center"/>
            <w:rPr>
              <w:b/>
              <w:bCs/>
              <w:sz w:val="32"/>
              <w:szCs w:val="40"/>
            </w:rPr>
          </w:pPr>
          <w:r>
            <w:rPr>
              <w:rFonts w:ascii="宋体" w:eastAsia="宋体" w:hAnsi="宋体"/>
              <w:b/>
              <w:bCs/>
              <w:sz w:val="32"/>
              <w:szCs w:val="40"/>
            </w:rPr>
            <w:t xml:space="preserve">目录</w:t>
          </w:r>
        </w:p>
        <w:p>
          <w:pPr>
            <w:pStyle w:val="TOC1"/>
            <w:tabs>
              <w:tab w:val="right" w:leader="dot" w:pos="8296"/>
            </w:tabs>
          </w:pPr>
          <w:r>
            <w:rPr>
              <w:rFonts w:ascii="Arial" w:eastAsia="Arial" w:hAnsi="Arial" w:cs="Arial" w:hint="default"/>
              <w:i w:val="0"/>
              <w:iCs w:val="0"/>
              <w:caps w:val="0"/>
              <w:color w:val="333333"/>
              <w:spacing w:val="0"/>
              <w:sz w:val="13"/>
              <w:szCs w:val="13"/>
              <w:highlight w:val="none"/>
            </w:rPr>
            <w:fldChar w:fldCharType="begin"/>
          </w:r>
          <w:r>
            <w:rPr>
              <w:rFonts w:ascii="Arial" w:eastAsia="Arial" w:hAnsi="Arial" w:cs="Arial" w:hint="default"/>
              <w:i w:val="0"/>
              <w:iCs w:val="0"/>
              <w:caps w:val="0"/>
              <w:color w:val="333333"/>
              <w:spacing w:val="0"/>
              <w:sz w:val="13"/>
              <w:szCs w:val="13"/>
              <w:highlight w:val="none"/>
            </w:rPr>
            <w:instrText xml:space="preserve">TOC \o "1-2" \h \u</w:instrText>
          </w:r>
          <w:r>
            <w:rPr>
              <w:rFonts w:ascii="Arial" w:eastAsia="Arial" w:hAnsi="Arial" w:cs="Arial" w:hint="default"/>
              <w:i w:val="0"/>
              <w:iCs w:val="0"/>
              <w:caps w:val="0"/>
              <w:color w:val="333333"/>
              <w:spacing w:val="0"/>
              <w:sz w:val="13"/>
              <w:szCs w:val="13"/>
              <w:highlight w:val="none"/>
            </w:rPr>
            <w:fldChar w:fldCharType="separate"/>
          </w:r>
          <w:hyperlink w:anchor="_Toc_1_2_0000000032" w:history="1">
            <w:r>
              <w:rPr>
                <w:b w:val="0"/>
                <w:highlight w:val="none"/>
              </w:rPr>
              <w:t xml:space="preserve">一、概况</w:t>
            </w:r>
            <w:r>
              <w:tab/>
            </w:r>
            <w:r>
              <w:fldChar w:fldCharType="begin"/>
            </w:r>
            <w:r>
              <w:instrText xml:space="preserve">PAGEREF _Toc_1_2_0000000032 \h</w:instrText>
            </w:r>
            <w:r>
              <w:fldChar w:fldCharType="separate"/>
            </w:r>
            <w:r>
              <w:t xml:space="preserve">2</w:t>
            </w:r>
            <w:r>
              <w:fldChar w:fldCharType="end"/>
            </w:r>
          </w:hyperlink>
        </w:p>
        <w:p>
          <w:pPr>
            <w:pStyle w:val="TOC2"/>
            <w:tabs>
              <w:tab w:val="right" w:leader="dot" w:pos="8296"/>
            </w:tabs>
          </w:pPr>
          <w:hyperlink w:anchor="_Toc_1_2_0000000033" w:history="1">
            <w:r>
              <w:rPr>
                <w:b w:val="0"/>
                <w:highlight w:val="none"/>
              </w:rPr>
              <w:t xml:space="preserve">（一）单位职责</w:t>
            </w:r>
            <w:r>
              <w:tab/>
            </w:r>
            <w:r>
              <w:fldChar w:fldCharType="begin"/>
            </w:r>
            <w:r>
              <w:instrText xml:space="preserve">PAGEREF _Toc_1_2_0000000033 \h</w:instrText>
            </w:r>
            <w:r>
              <w:fldChar w:fldCharType="separate"/>
            </w:r>
            <w:r>
              <w:t xml:space="preserve">2</w:t>
            </w:r>
            <w:r>
              <w:fldChar w:fldCharType="end"/>
            </w:r>
          </w:hyperlink>
        </w:p>
        <w:p>
          <w:pPr>
            <w:pStyle w:val="TOC2"/>
            <w:tabs>
              <w:tab w:val="right" w:leader="dot" w:pos="8296"/>
            </w:tabs>
          </w:pPr>
          <w:hyperlink w:anchor="_Toc_1_2_0000000034" w:history="1">
            <w:r>
              <w:rPr>
                <w:b w:val="0"/>
                <w:highlight w:val="none"/>
              </w:rPr>
              <w:t xml:space="preserve">（二）机构设置</w:t>
            </w:r>
            <w:r>
              <w:tab/>
            </w:r>
            <w:r>
              <w:fldChar w:fldCharType="begin"/>
            </w:r>
            <w:r>
              <w:instrText xml:space="preserve">PAGEREF _Toc_1_2_0000000034 \h</w:instrText>
            </w:r>
            <w:r>
              <w:fldChar w:fldCharType="separate"/>
            </w:r>
            <w:r>
              <w:t xml:space="preserve">2</w:t>
            </w:r>
            <w:r>
              <w:fldChar w:fldCharType="end"/>
            </w:r>
          </w:hyperlink>
        </w:p>
        <w:p>
          <w:pPr>
            <w:pStyle w:val="TOC1"/>
            <w:tabs>
              <w:tab w:val="right" w:leader="dot" w:pos="8296"/>
            </w:tabs>
          </w:pPr>
          <w:hyperlink w:anchor="_Toc_1_2_0000000035" w:history="1">
            <w:r>
              <w:rPr>
                <w:highlight w:val="none"/>
              </w:rPr>
              <w:t xml:space="preserve">二、2023年度单位决算公开表</w:t>
            </w:r>
            <w:r>
              <w:tab/>
            </w:r>
            <w:r>
              <w:fldChar w:fldCharType="begin"/>
            </w:r>
            <w:r>
              <w:instrText xml:space="preserve">PAGEREF _Toc_1_2_0000000035 \h</w:instrText>
            </w:r>
            <w:r>
              <w:fldChar w:fldCharType="separate"/>
            </w:r>
            <w:r>
              <w:t xml:space="preserve">3</w:t>
            </w:r>
            <w:r>
              <w:fldChar w:fldCharType="end"/>
            </w:r>
          </w:hyperlink>
        </w:p>
        <w:p>
          <w:pPr>
            <w:pStyle w:val="TOC2"/>
            <w:tabs>
              <w:tab w:val="right" w:leader="dot" w:pos="8296"/>
            </w:tabs>
          </w:pPr>
          <w:hyperlink w:anchor="_Toc_1_2_0000000036" w:history="1">
            <w:r>
              <w:t xml:space="preserve">2023年度收入支出决算总表</w:t>
            </w:r>
            <w:r>
              <w:tab/>
            </w:r>
            <w:r>
              <w:fldChar w:fldCharType="begin"/>
            </w:r>
            <w:r>
              <w:instrText xml:space="preserve">PAGEREF _Toc_1_2_0000000036 \h</w:instrText>
            </w:r>
            <w:r>
              <w:fldChar w:fldCharType="separate"/>
            </w:r>
            <w:r>
              <w:t xml:space="preserve">3</w:t>
            </w:r>
            <w:r>
              <w:fldChar w:fldCharType="end"/>
            </w:r>
          </w:hyperlink>
        </w:p>
        <w:p>
          <w:pPr>
            <w:pStyle w:val="TOC2"/>
            <w:tabs>
              <w:tab w:val="right" w:leader="dot" w:pos="8296"/>
            </w:tabs>
          </w:pPr>
          <w:hyperlink w:anchor="_Toc_1_2_0000000037" w:history="1">
            <w:r>
              <w:t xml:space="preserve">2023年度收入决算表（分单位）</w:t>
            </w:r>
            <w:r>
              <w:tab/>
            </w:r>
            <w:r>
              <w:fldChar w:fldCharType="begin"/>
            </w:r>
            <w:r>
              <w:instrText xml:space="preserve">PAGEREF _Toc_1_2_0000000037 \h</w:instrText>
            </w:r>
            <w:r>
              <w:fldChar w:fldCharType="separate"/>
            </w:r>
            <w:r>
              <w:t xml:space="preserve">5</w:t>
            </w:r>
            <w:r>
              <w:fldChar w:fldCharType="end"/>
            </w:r>
          </w:hyperlink>
        </w:p>
        <w:p>
          <w:pPr>
            <w:pStyle w:val="TOC2"/>
            <w:tabs>
              <w:tab w:val="right" w:leader="dot" w:pos="8296"/>
            </w:tabs>
          </w:pPr>
          <w:hyperlink w:anchor="_Toc_1_2_0000000038" w:history="1">
            <w:r>
              <w:t xml:space="preserve">2023年度收入决算表（分科目）</w:t>
            </w:r>
            <w:r>
              <w:tab/>
            </w:r>
            <w:r>
              <w:fldChar w:fldCharType="begin"/>
            </w:r>
            <w:r>
              <w:instrText xml:space="preserve">PAGEREF _Toc_1_2_0000000038 \h</w:instrText>
            </w:r>
            <w:r>
              <w:fldChar w:fldCharType="separate"/>
            </w:r>
            <w:r>
              <w:t xml:space="preserve">6</w:t>
            </w:r>
            <w:r>
              <w:fldChar w:fldCharType="end"/>
            </w:r>
          </w:hyperlink>
        </w:p>
        <w:p>
          <w:pPr>
            <w:pStyle w:val="TOC2"/>
            <w:tabs>
              <w:tab w:val="right" w:leader="dot" w:pos="8296"/>
            </w:tabs>
          </w:pPr>
          <w:hyperlink w:anchor="_Toc_1_2_0000000039" w:history="1">
            <w:r>
              <w:t xml:space="preserve">2023年度支出决算表（分单位）</w:t>
            </w:r>
            <w:r>
              <w:tab/>
            </w:r>
            <w:r>
              <w:fldChar w:fldCharType="begin"/>
            </w:r>
            <w:r>
              <w:instrText xml:space="preserve">PAGEREF _Toc_1_2_0000000039 \h</w:instrText>
            </w:r>
            <w:r>
              <w:fldChar w:fldCharType="separate"/>
            </w:r>
            <w:r>
              <w:t xml:space="preserve">8</w:t>
            </w:r>
            <w:r>
              <w:fldChar w:fldCharType="end"/>
            </w:r>
          </w:hyperlink>
        </w:p>
        <w:p>
          <w:pPr>
            <w:pStyle w:val="TOC2"/>
            <w:tabs>
              <w:tab w:val="right" w:leader="dot" w:pos="8296"/>
            </w:tabs>
          </w:pPr>
          <w:hyperlink w:anchor="_Toc_1_2_0000000040" w:history="1">
            <w:r>
              <w:t xml:space="preserve">2023年度支出决算表（分科目）</w:t>
            </w:r>
            <w:r>
              <w:tab/>
            </w:r>
            <w:r>
              <w:fldChar w:fldCharType="begin"/>
            </w:r>
            <w:r>
              <w:instrText xml:space="preserve">PAGEREF _Toc_1_2_0000000040 \h</w:instrText>
            </w:r>
            <w:r>
              <w:fldChar w:fldCharType="separate"/>
            </w:r>
            <w:r>
              <w:t xml:space="preserve">9</w:t>
            </w:r>
            <w:r>
              <w:fldChar w:fldCharType="end"/>
            </w:r>
          </w:hyperlink>
        </w:p>
        <w:p>
          <w:pPr>
            <w:pStyle w:val="TOC2"/>
            <w:tabs>
              <w:tab w:val="right" w:leader="dot" w:pos="8296"/>
            </w:tabs>
          </w:pPr>
          <w:hyperlink w:anchor="_Toc_1_2_0000000041" w:history="1">
            <w:r>
              <w:t xml:space="preserve">2023年度财政拨款收入支出决算总表</w:t>
            </w:r>
            <w:r>
              <w:tab/>
            </w:r>
            <w:r>
              <w:fldChar w:fldCharType="begin"/>
            </w:r>
            <w:r>
              <w:instrText xml:space="preserve">PAGEREF _Toc_1_2_0000000041 \h</w:instrText>
            </w:r>
            <w:r>
              <w:fldChar w:fldCharType="separate"/>
            </w:r>
            <w:r>
              <w:t xml:space="preserve">11</w:t>
            </w:r>
            <w:r>
              <w:fldChar w:fldCharType="end"/>
            </w:r>
          </w:hyperlink>
        </w:p>
        <w:p>
          <w:pPr>
            <w:pStyle w:val="TOC2"/>
            <w:tabs>
              <w:tab w:val="right" w:leader="dot" w:pos="8296"/>
            </w:tabs>
          </w:pPr>
          <w:hyperlink w:anchor="_Toc_1_2_0000000042" w:history="1">
            <w:r>
              <w:t xml:space="preserve">2023年度一般公共预算财政拨款支出决算表</w:t>
            </w:r>
            <w:r>
              <w:tab/>
            </w:r>
            <w:r>
              <w:fldChar w:fldCharType="begin"/>
            </w:r>
            <w:r>
              <w:instrText xml:space="preserve">PAGEREF _Toc_1_2_0000000042 \h</w:instrText>
            </w:r>
            <w:r>
              <w:fldChar w:fldCharType="separate"/>
            </w:r>
            <w:r>
              <w:t xml:space="preserve">13</w:t>
            </w:r>
            <w:r>
              <w:fldChar w:fldCharType="end"/>
            </w:r>
          </w:hyperlink>
        </w:p>
        <w:p>
          <w:pPr>
            <w:pStyle w:val="TOC2"/>
            <w:tabs>
              <w:tab w:val="right" w:leader="dot" w:pos="8296"/>
            </w:tabs>
          </w:pPr>
          <w:hyperlink w:anchor="_Toc_1_2_0000000043" w:history="1">
            <w:r>
              <w:t xml:space="preserve">2023年度一般公共预算财政拨款基本支出决算明细表</w:t>
            </w:r>
            <w:r>
              <w:tab/>
            </w:r>
            <w:r>
              <w:fldChar w:fldCharType="begin"/>
            </w:r>
            <w:r>
              <w:instrText xml:space="preserve">PAGEREF _Toc_1_2_0000000043 \h</w:instrText>
            </w:r>
            <w:r>
              <w:fldChar w:fldCharType="separate"/>
            </w:r>
            <w:r>
              <w:t xml:space="preserve">15</w:t>
            </w:r>
            <w:r>
              <w:fldChar w:fldCharType="end"/>
            </w:r>
          </w:hyperlink>
        </w:p>
        <w:p>
          <w:pPr>
            <w:pStyle w:val="TOC2"/>
            <w:tabs>
              <w:tab w:val="right" w:leader="dot" w:pos="8296"/>
            </w:tabs>
          </w:pPr>
          <w:hyperlink w:anchor="_Toc_1_2_0000000044" w:history="1">
            <w:r>
              <w:t xml:space="preserve">2023年度政府性基金预算财政拨款收入支出决算表</w:t>
            </w:r>
            <w:r>
              <w:tab/>
            </w:r>
            <w:r>
              <w:fldChar w:fldCharType="begin"/>
            </w:r>
            <w:r>
              <w:instrText xml:space="preserve">PAGEREF _Toc_1_2_0000000044 \h</w:instrText>
            </w:r>
            <w:r>
              <w:fldChar w:fldCharType="separate"/>
            </w:r>
            <w:r>
              <w:t xml:space="preserve">17</w:t>
            </w:r>
            <w:r>
              <w:fldChar w:fldCharType="end"/>
            </w:r>
          </w:hyperlink>
        </w:p>
        <w:p>
          <w:pPr>
            <w:pStyle w:val="TOC2"/>
            <w:tabs>
              <w:tab w:val="right" w:leader="dot" w:pos="8296"/>
            </w:tabs>
          </w:pPr>
          <w:hyperlink w:anchor="_Toc_1_2_0000000045" w:history="1">
            <w:r>
              <w:t xml:space="preserve">2023年度国有资本经营预算财政拨款支出决算表</w:t>
            </w:r>
            <w:r>
              <w:tab/>
            </w:r>
            <w:r>
              <w:fldChar w:fldCharType="begin"/>
            </w:r>
            <w:r>
              <w:instrText xml:space="preserve">PAGEREF _Toc_1_2_0000000045 \h</w:instrText>
            </w:r>
            <w:r>
              <w:fldChar w:fldCharType="separate"/>
            </w:r>
            <w:r>
              <w:t xml:space="preserve">18</w:t>
            </w:r>
            <w:r>
              <w:fldChar w:fldCharType="end"/>
            </w:r>
          </w:hyperlink>
        </w:p>
        <w:p>
          <w:pPr>
            <w:pStyle w:val="TOC2"/>
            <w:tabs>
              <w:tab w:val="right" w:leader="dot" w:pos="8296"/>
            </w:tabs>
          </w:pPr>
          <w:hyperlink w:anchor="_Toc_1_2_0000000046" w:history="1">
            <w:r>
              <w:t xml:space="preserve">2023年度财政拨款“三公”经费支出决算表</w:t>
            </w:r>
            <w:r>
              <w:tab/>
            </w:r>
            <w:r>
              <w:fldChar w:fldCharType="begin"/>
            </w:r>
            <w:r>
              <w:instrText xml:space="preserve">PAGEREF _Toc_1_2_0000000046 \h</w:instrText>
            </w:r>
            <w:r>
              <w:fldChar w:fldCharType="separate"/>
            </w:r>
            <w:r>
              <w:t xml:space="preserve">19</w:t>
            </w:r>
            <w:r>
              <w:fldChar w:fldCharType="end"/>
            </w:r>
          </w:hyperlink>
        </w:p>
        <w:p>
          <w:pPr>
            <w:pStyle w:val="TOC1"/>
            <w:tabs>
              <w:tab w:val="right" w:leader="dot" w:pos="8296"/>
            </w:tabs>
          </w:pPr>
          <w:hyperlink w:anchor="_Toc_1_2_0000000047" w:history="1">
            <w:r>
              <w:rPr>
                <w:b w:val="0"/>
                <w:highlight w:val="none"/>
              </w:rPr>
              <w:t xml:space="preserve">三、2023年度单位决算情况说明</w:t>
            </w:r>
            <w:r>
              <w:tab/>
            </w:r>
            <w:r>
              <w:fldChar w:fldCharType="begin"/>
            </w:r>
            <w:r>
              <w:instrText xml:space="preserve">PAGEREF _Toc_1_2_0000000047 \h</w:instrText>
            </w:r>
            <w:r>
              <w:fldChar w:fldCharType="separate"/>
            </w:r>
            <w:r>
              <w:t xml:space="preserve">20</w:t>
            </w:r>
            <w:r>
              <w:fldChar w:fldCharType="end"/>
            </w:r>
          </w:hyperlink>
        </w:p>
        <w:p>
          <w:pPr>
            <w:pStyle w:val="TOC2"/>
            <w:tabs>
              <w:tab w:val="right" w:leader="dot" w:pos="8296"/>
            </w:tabs>
          </w:pPr>
          <w:hyperlink w:anchor="_Toc_1_2_0000000048" w:history="1">
            <w:r>
              <w:t xml:space="preserve">（一）收入支出决算总体情况说明</w:t>
            </w:r>
            <w:r>
              <w:tab/>
            </w:r>
            <w:r>
              <w:fldChar w:fldCharType="begin"/>
            </w:r>
            <w:r>
              <w:instrText xml:space="preserve">PAGEREF _Toc_1_2_0000000048 \h</w:instrText>
            </w:r>
            <w:r>
              <w:fldChar w:fldCharType="separate"/>
            </w:r>
            <w:r>
              <w:t xml:space="preserve">20</w:t>
            </w:r>
            <w:r>
              <w:fldChar w:fldCharType="end"/>
            </w:r>
          </w:hyperlink>
        </w:p>
        <w:p>
          <w:pPr>
            <w:pStyle w:val="TOC2"/>
            <w:tabs>
              <w:tab w:val="right" w:leader="dot" w:pos="8296"/>
            </w:tabs>
          </w:pPr>
          <w:hyperlink w:anchor="_Toc_1_2_0000000049" w:history="1">
            <w:r>
              <w:rPr>
                <w:b w:val="0"/>
                <w:highlight w:val="none"/>
              </w:rPr>
              <w:t xml:space="preserve">（二）收入决算情况说明</w:t>
            </w:r>
            <w:r>
              <w:tab/>
            </w:r>
            <w:r>
              <w:fldChar w:fldCharType="begin"/>
            </w:r>
            <w:r>
              <w:instrText xml:space="preserve">PAGEREF _Toc_1_2_0000000049 \h</w:instrText>
            </w:r>
            <w:r>
              <w:fldChar w:fldCharType="separate"/>
            </w:r>
            <w:r>
              <w:t xml:space="preserve">20</w:t>
            </w:r>
            <w:r>
              <w:fldChar w:fldCharType="end"/>
            </w:r>
          </w:hyperlink>
        </w:p>
        <w:p>
          <w:pPr>
            <w:pStyle w:val="TOC2"/>
            <w:tabs>
              <w:tab w:val="right" w:leader="dot" w:pos="8296"/>
            </w:tabs>
          </w:pPr>
          <w:hyperlink w:anchor="_Toc_1_2_0000000050" w:history="1">
            <w:r>
              <w:t xml:space="preserve">（三）支出决算情况说明</w:t>
            </w:r>
            <w:r>
              <w:tab/>
            </w:r>
            <w:r>
              <w:fldChar w:fldCharType="begin"/>
            </w:r>
            <w:r>
              <w:instrText xml:space="preserve">PAGEREF _Toc_1_2_0000000050 \h</w:instrText>
            </w:r>
            <w:r>
              <w:fldChar w:fldCharType="separate"/>
            </w:r>
            <w:r>
              <w:t xml:space="preserve">20</w:t>
            </w:r>
            <w:r>
              <w:fldChar w:fldCharType="end"/>
            </w:r>
          </w:hyperlink>
        </w:p>
        <w:p>
          <w:pPr>
            <w:pStyle w:val="TOC2"/>
            <w:tabs>
              <w:tab w:val="right" w:leader="dot" w:pos="8296"/>
            </w:tabs>
          </w:pPr>
          <w:hyperlink w:anchor="_Toc_1_2_0000000051" w:history="1">
            <w:r>
              <w:t xml:space="preserve">（四）财政拨款收入支出决算总体情况说明</w:t>
            </w:r>
            <w:r>
              <w:tab/>
            </w:r>
            <w:r>
              <w:fldChar w:fldCharType="begin"/>
            </w:r>
            <w:r>
              <w:instrText xml:space="preserve">PAGEREF _Toc_1_2_0000000051 \h</w:instrText>
            </w:r>
            <w:r>
              <w:fldChar w:fldCharType="separate"/>
            </w:r>
            <w:r>
              <w:t xml:space="preserve">20</w:t>
            </w:r>
            <w:r>
              <w:fldChar w:fldCharType="end"/>
            </w:r>
          </w:hyperlink>
        </w:p>
        <w:p>
          <w:pPr>
            <w:pStyle w:val="TOC2"/>
            <w:tabs>
              <w:tab w:val="right" w:leader="dot" w:pos="8296"/>
            </w:tabs>
          </w:pPr>
          <w:hyperlink w:anchor="_Toc_1_2_0000000052" w:history="1">
            <w:r>
              <w:t xml:space="preserve">（五）一般公共预算财政拨款支出决算情况说明</w:t>
            </w:r>
            <w:r>
              <w:tab/>
            </w:r>
            <w:r>
              <w:fldChar w:fldCharType="begin"/>
            </w:r>
            <w:r>
              <w:instrText xml:space="preserve">PAGEREF _Toc_1_2_0000000052 \h</w:instrText>
            </w:r>
            <w:r>
              <w:fldChar w:fldCharType="separate"/>
            </w:r>
            <w:r>
              <w:t xml:space="preserve">21</w:t>
            </w:r>
            <w:r>
              <w:fldChar w:fldCharType="end"/>
            </w:r>
          </w:hyperlink>
        </w:p>
        <w:p>
          <w:pPr>
            <w:pStyle w:val="TOC2"/>
            <w:tabs>
              <w:tab w:val="right" w:leader="dot" w:pos="8296"/>
            </w:tabs>
          </w:pPr>
          <w:hyperlink w:anchor="_Toc_1_2_0000000053" w:history="1">
            <w:r>
              <w:t xml:space="preserve">（六）一般公共预算财政拨款基本支出决算情况说明</w:t>
            </w:r>
            <w:r>
              <w:tab/>
            </w:r>
            <w:r>
              <w:fldChar w:fldCharType="begin"/>
            </w:r>
            <w:r>
              <w:instrText xml:space="preserve">PAGEREF _Toc_1_2_0000000053 \h</w:instrText>
            </w:r>
            <w:r>
              <w:fldChar w:fldCharType="separate"/>
            </w:r>
            <w:r>
              <w:t xml:space="preserve">22</w:t>
            </w:r>
            <w:r>
              <w:fldChar w:fldCharType="end"/>
            </w:r>
          </w:hyperlink>
        </w:p>
        <w:p>
          <w:pPr>
            <w:pStyle w:val="TOC2"/>
            <w:tabs>
              <w:tab w:val="right" w:leader="dot" w:pos="8296"/>
            </w:tabs>
          </w:pPr>
          <w:hyperlink w:anchor="_Toc_1_2_0000000054" w:history="1">
            <w:r>
              <w:t xml:space="preserve">（七）政府性基金预算财政拨款支出决算总体情况说明</w:t>
            </w:r>
            <w:r>
              <w:tab/>
            </w:r>
            <w:r>
              <w:fldChar w:fldCharType="begin"/>
            </w:r>
            <w:r>
              <w:instrText xml:space="preserve">PAGEREF _Toc_1_2_0000000054 \h</w:instrText>
            </w:r>
            <w:r>
              <w:fldChar w:fldCharType="separate"/>
            </w:r>
            <w:r>
              <w:t xml:space="preserve">23</w:t>
            </w:r>
            <w:r>
              <w:fldChar w:fldCharType="end"/>
            </w:r>
          </w:hyperlink>
        </w:p>
        <w:p>
          <w:pPr>
            <w:pStyle w:val="TOC2"/>
            <w:tabs>
              <w:tab w:val="right" w:leader="dot" w:pos="8296"/>
            </w:tabs>
          </w:pPr>
          <w:hyperlink w:anchor="_Toc_1_2_0000000055" w:history="1">
            <w:r>
              <w:t xml:space="preserve">（八）国有资本经营预算财政拨款支出决算总体情况说明</w:t>
            </w:r>
            <w:r>
              <w:tab/>
            </w:r>
            <w:r>
              <w:fldChar w:fldCharType="begin"/>
            </w:r>
            <w:r>
              <w:instrText xml:space="preserve">PAGEREF _Toc_1_2_0000000055 \h</w:instrText>
            </w:r>
            <w:r>
              <w:fldChar w:fldCharType="separate"/>
            </w:r>
            <w:r>
              <w:t xml:space="preserve">23</w:t>
            </w:r>
            <w:r>
              <w:fldChar w:fldCharType="end"/>
            </w:r>
          </w:hyperlink>
        </w:p>
        <w:p>
          <w:pPr>
            <w:pStyle w:val="TOC2"/>
            <w:tabs>
              <w:tab w:val="right" w:leader="dot" w:pos="8296"/>
            </w:tabs>
          </w:pPr>
          <w:hyperlink w:anchor="_Toc_1_2_0000000056" w:history="1">
            <w:r>
              <w:t xml:space="preserve">（九）财政拨款“三公”经费支出决算情况说明</w:t>
            </w:r>
            <w:r>
              <w:tab/>
            </w:r>
            <w:r>
              <w:fldChar w:fldCharType="begin"/>
            </w:r>
            <w:r>
              <w:instrText xml:space="preserve">PAGEREF _Toc_1_2_0000000056 \h</w:instrText>
            </w:r>
            <w:r>
              <w:fldChar w:fldCharType="separate"/>
            </w:r>
            <w:r>
              <w:t xml:space="preserve">23</w:t>
            </w:r>
            <w:r>
              <w:fldChar w:fldCharType="end"/>
            </w:r>
          </w:hyperlink>
        </w:p>
        <w:p>
          <w:pPr>
            <w:pStyle w:val="TOC2"/>
            <w:tabs>
              <w:tab w:val="right" w:leader="dot" w:pos="8296"/>
            </w:tabs>
          </w:pPr>
          <w:hyperlink w:anchor="_Toc_1_2_0000000057" w:history="1">
            <w:r>
              <w:t xml:space="preserve">（十）机关运行经费支出说明</w:t>
            </w:r>
            <w:r>
              <w:tab/>
            </w:r>
            <w:r>
              <w:fldChar w:fldCharType="begin"/>
            </w:r>
            <w:r>
              <w:instrText xml:space="preserve">PAGEREF _Toc_1_2_0000000057 \h</w:instrText>
            </w:r>
            <w:r>
              <w:fldChar w:fldCharType="separate"/>
            </w:r>
            <w:r>
              <w:t xml:space="preserve">25</w:t>
            </w:r>
            <w:r>
              <w:fldChar w:fldCharType="end"/>
            </w:r>
          </w:hyperlink>
        </w:p>
        <w:p>
          <w:pPr>
            <w:pStyle w:val="TOC2"/>
            <w:tabs>
              <w:tab w:val="right" w:leader="dot" w:pos="8296"/>
            </w:tabs>
          </w:pPr>
          <w:hyperlink w:anchor="_Toc_1_2_0000000058" w:history="1">
            <w:r>
              <w:t xml:space="preserve">（十一）政府采购支出说明</w:t>
            </w:r>
            <w:r>
              <w:tab/>
            </w:r>
            <w:r>
              <w:fldChar w:fldCharType="begin"/>
            </w:r>
            <w:r>
              <w:instrText xml:space="preserve">PAGEREF _Toc_1_2_0000000058 \h</w:instrText>
            </w:r>
            <w:r>
              <w:fldChar w:fldCharType="separate"/>
            </w:r>
            <w:r>
              <w:t xml:space="preserve">25</w:t>
            </w:r>
            <w:r>
              <w:fldChar w:fldCharType="end"/>
            </w:r>
          </w:hyperlink>
        </w:p>
        <w:p>
          <w:pPr>
            <w:pStyle w:val="TOC2"/>
            <w:tabs>
              <w:tab w:val="right" w:leader="dot" w:pos="8296"/>
            </w:tabs>
          </w:pPr>
          <w:hyperlink w:anchor="_Toc_1_2_0000000059" w:history="1">
            <w:r>
              <w:t xml:space="preserve">（十二）国有资产占有使用情况说明</w:t>
            </w:r>
            <w:r>
              <w:tab/>
            </w:r>
            <w:r>
              <w:fldChar w:fldCharType="begin"/>
            </w:r>
            <w:r>
              <w:instrText xml:space="preserve">PAGEREF _Toc_1_2_0000000059 \h</w:instrText>
            </w:r>
            <w:r>
              <w:fldChar w:fldCharType="separate"/>
            </w:r>
            <w:r>
              <w:t xml:space="preserve">26</w:t>
            </w:r>
            <w:r>
              <w:fldChar w:fldCharType="end"/>
            </w:r>
          </w:hyperlink>
        </w:p>
        <w:p>
          <w:pPr>
            <w:pStyle w:val="TOC2"/>
            <w:tabs>
              <w:tab w:val="right" w:leader="dot" w:pos="8296"/>
            </w:tabs>
          </w:pPr>
          <w:hyperlink w:anchor="_Toc_1_2_0000000060" w:history="1">
            <w:r>
              <w:t xml:space="preserve">（十三）预算绩效情况说明</w:t>
            </w:r>
            <w:r>
              <w:tab/>
            </w:r>
            <w:r>
              <w:fldChar w:fldCharType="begin"/>
            </w:r>
            <w:r>
              <w:instrText xml:space="preserve">PAGEREF _Toc_1_2_0000000060 \h</w:instrText>
            </w:r>
            <w:r>
              <w:fldChar w:fldCharType="separate"/>
            </w:r>
            <w:r>
              <w:t xml:space="preserve">26</w:t>
            </w:r>
            <w:r>
              <w:fldChar w:fldCharType="end"/>
            </w:r>
          </w:hyperlink>
        </w:p>
        <w:p>
          <w:pPr>
            <w:pStyle w:val="TOC1"/>
            <w:tabs>
              <w:tab w:val="right" w:leader="dot" w:pos="8296"/>
            </w:tabs>
          </w:pPr>
          <w:hyperlink w:anchor="_Toc_1_2_0000000061" w:history="1">
            <w:r>
              <w:t xml:space="preserve">四、名词解释</w:t>
            </w:r>
            <w:r>
              <w:tab/>
            </w:r>
            <w:r>
              <w:fldChar w:fldCharType="begin"/>
            </w:r>
            <w:r>
              <w:instrText xml:space="preserve">PAGEREF _Toc_1_2_0000000061 \h</w:instrText>
            </w:r>
            <w:r>
              <w:fldChar w:fldCharType="separate"/>
            </w:r>
            <w:r>
              <w:t xml:space="preserve">31</w:t>
            </w:r>
            <w:r>
              <w:fldChar w:fldCharType="end"/>
            </w:r>
          </w:hyperlink>
        </w:p>
        <w:p>
          <w:pPr>
            <w:pStyle w:val="TOC1"/>
            <w:tabs>
              <w:tab w:val="right" w:leader="dot" w:pos="8296"/>
            </w:tabs>
          </w:pPr>
          <w:hyperlink w:anchor="_Toc_1_2_0000000062" w:history="1">
            <w:r>
              <w:t xml:space="preserve">五、附件</w:t>
            </w:r>
            <w:r>
              <w:tab/>
            </w:r>
            <w:r>
              <w:fldChar w:fldCharType="begin"/>
            </w:r>
            <w:r>
              <w:instrText xml:space="preserve">PAGEREF _Toc_1_2_0000000062 \h</w:instrText>
            </w:r>
            <w:r>
              <w:fldChar w:fldCharType="separate"/>
            </w:r>
            <w:r>
              <w:t xml:space="preserve">34</w:t>
            </w:r>
            <w:r>
              <w:fldChar w:fldCharType="end"/>
            </w:r>
          </w:hyperlink>
        </w:p>
        <w:p>
          <w:pPr>
            <w:keepNext w:val="0"/>
            <w:keepLines w:val="0"/>
            <w:widowControl/>
            <w:suppressLineNumbers w:val="0"/>
            <w:spacing w:before="0" w:beforeAutospacing="0" w:after="0" w:afterAutospacing="0" w:line="600" w:lineRule="atLeast"/>
            <w:ind w:right="0"/>
            <w:jc w:val="both"/>
          </w:pPr>
          <w:r>
            <w:rPr>
              <w:rFonts w:ascii="Arial" w:eastAsia="Arial" w:hAnsi="Arial" w:cs="Arial" w:hint="default"/>
              <w:i w:val="0"/>
              <w:iCs w:val="0"/>
              <w:caps w:val="0"/>
              <w:color w:val="333333"/>
              <w:spacing w:val="0"/>
              <w:szCs w:val="13"/>
              <w:highlight w:val="none"/>
            </w:rPr>
            <w:fldChar w:fldCharType="end"/>
          </w:r>
          <w:bookmarkStart w:id="1" w:name="_Toc25986"/>
        </w:p>
      </w:sdtContent>
    </w:sdt>
    <w:p>
      <w:pPr>
        <w:rPr>
          <w:rFonts w:ascii="黑体" w:eastAsia="黑体" w:hAnsi="黑体" w:hint="eastAsia"/>
          <w:b w:val="0"/>
          <w:bCs/>
          <w:color w:val="000000"/>
          <w:sz w:val="32"/>
          <w:szCs w:val="24"/>
          <w:highlight w:val="none"/>
          <w:lang w:val="en-US" w:eastAsia="zh-CN"/>
        </w:rPr>
      </w:pPr>
      <w:r>
        <w:br w:type="page"/>
      </w:r>
    </w:p>
    <w:p>
      <w:pPr>
        <w:keepNext w:val="0"/>
        <w:keepLines w:val="0"/>
        <w:widowControl/>
        <w:suppressLineNumbers w:val="0"/>
        <w:spacing w:before="0" w:beforeAutospacing="0" w:after="0" w:afterAutospacing="0" w:line="600" w:lineRule="atLeast"/>
        <w:ind w:right="0" w:rightChars="0"/>
        <w:jc w:val="both"/>
        <w:outlineLvl w:val="0"/>
        <w:rPr>
          <w:rFonts w:ascii="黑体" w:eastAsia="黑体" w:hAnsi="黑体" w:hint="default"/>
          <w:b w:val="0"/>
          <w:bCs/>
          <w:color w:val="000000"/>
          <w:sz w:val="32"/>
          <w:szCs w:val="24"/>
          <w:highlight w:val="none"/>
          <w:lang w:val="en-US" w:eastAsia="zh-CN"/>
        </w:rPr>
      </w:pPr>
      <w:bookmarkStart w:id="2" w:name="_Toc_1_2_0000000032"/>
      <w:r>
        <w:rPr>
          <w:rFonts w:ascii="黑体" w:eastAsia="黑体" w:hAnsi="黑体" w:hint="eastAsia"/>
          <w:b w:val="0"/>
          <w:bCs/>
          <w:color w:val="000000"/>
          <w:sz w:val="32"/>
          <w:szCs w:val="24"/>
          <w:highlight w:val="none"/>
          <w:lang w:val="en-US" w:eastAsia="zh-CN"/>
        </w:rPr>
        <w:t xml:space="preserve">一、概况</w:t>
      </w:r>
      <w:bookmarkEnd w:id="1"/>
      <w:bookmarkEnd w:id="2"/>
    </w:p>
    <w:p>
      <w:pPr>
        <w:spacing w:beforeLines="0" w:afterLines="0" w:line="600" w:lineRule="exact"/>
        <w:ind w:firstLine="641"/>
        <w:jc w:val="left"/>
        <w:outlineLvl w:val="1"/>
        <w:rPr>
          <w:rFonts w:ascii="黑体" w:eastAsia="楷体" w:hAnsi="宋体" w:cs="黑体" w:hint="default"/>
          <w:bCs/>
          <w:kern w:val="2"/>
          <w:sz w:val="32"/>
          <w:szCs w:val="32"/>
          <w:highlight w:val="none"/>
          <w:lang w:val="en-US" w:eastAsia="zh-CN"/>
        </w:rPr>
      </w:pPr>
      <w:bookmarkStart w:id="3" w:name="_Toc18250"/>
      <w:bookmarkStart w:id="4" w:name="_Toc_1_2_0000000033"/>
      <w:r>
        <w:rPr>
          <w:rFonts w:ascii="楷体" w:eastAsia="楷体" w:hAnsi="楷体" w:hint="eastAsia"/>
          <w:b w:val="0"/>
          <w:bCs/>
          <w:color w:val="000000"/>
          <w:sz w:val="32"/>
          <w:szCs w:val="24"/>
          <w:highlight w:val="none"/>
          <w:lang w:val="en-US" w:eastAsia="zh-CN"/>
        </w:rPr>
        <w:t xml:space="preserve">（一）单位职责</w:t>
      </w:r>
      <w:bookmarkEnd w:id="3"/>
      <w:bookmarkEnd w:id="4"/>
    </w:p>
    <w:p>
      <w:pPr>
        <w:spacing w:beforeLines="0" w:afterLines="0" w:line="600" w:lineRule="exact"/>
        <w:ind w:firstLine="640"/>
        <w:rPr>
          <w:rFonts w:ascii="仿宋" w:eastAsia="仿宋" w:hAnsi="仿宋" w:hint="eastAsia"/>
          <w:color w:val="000000"/>
          <w:sz w:val="32"/>
          <w:szCs w:val="24"/>
          <w:highlight w:val="none"/>
        </w:rPr>
      </w:pPr>
      <w:r>
        <w:rPr>
          <w:rFonts w:ascii="仿宋" w:eastAsia="仿宋" w:hAnsi="仿宋" w:cs="仿宋" w:hint="eastAsia"/>
          <w:kern w:val="0"/>
          <w:sz w:val="32"/>
          <w:szCs w:val="32"/>
          <w:highlight w:val="none"/>
          <w:lang w:val="en-US" w:eastAsia="zh-CN"/>
        </w:rPr>
        <w:t xml:space="preserve">1.承担市级预算单位财政直接支付、其他支付的审核、支付、清算、对账等工作。</w:t>
        <w:br/>
        <w:t xml:space="preserve">    2.负责市级预算单位工资、奖金、津贴补贴、绩效工资的审核、发放工作。</w:t>
        <w:br/>
        <w:t xml:space="preserve">    3.负责市级预算单位国库授权支付业务的动态监控工作。</w:t>
        <w:br/>
        <w:t xml:space="preserve">    4.负责行政事业单位财务核算云服务平台的运维管理工作。</w:t>
        <w:br/>
        <w:t xml:space="preserve">    5.承担全市预算执行监督专项行动的预警监控工作</w:t>
        <w:br/>
        <w:t xml:space="preserve">    6.完成衢州市财政局交办的其他任务。</w:t>
      </w:r>
    </w:p>
    <w:p>
      <w:pPr>
        <w:spacing w:beforeLines="0" w:afterLines="0" w:line="600" w:lineRule="exact"/>
        <w:ind w:firstLine="641"/>
        <w:jc w:val="left"/>
        <w:outlineLvl w:val="1"/>
        <w:rPr>
          <w:rFonts w:ascii="仿宋" w:eastAsia="仿宋" w:hAnsi="仿宋" w:cs="仿宋" w:hint="eastAsia"/>
          <w:b w:val="0"/>
          <w:bCs/>
          <w:kern w:val="0"/>
          <w:sz w:val="32"/>
          <w:szCs w:val="32"/>
          <w:highlight w:val="none"/>
          <w:lang w:val="en-US" w:eastAsia="zh-CN"/>
        </w:rPr>
      </w:pPr>
      <w:bookmarkStart w:id="5" w:name="_Toc24572"/>
      <w:bookmarkStart w:id="6" w:name="_Toc_1_2_0000000034"/>
      <w:r>
        <w:rPr>
          <w:rFonts w:ascii="楷体" w:eastAsia="楷体" w:hAnsi="楷体" w:hint="eastAsia"/>
          <w:b w:val="0"/>
          <w:bCs/>
          <w:color w:val="000000"/>
          <w:sz w:val="32"/>
          <w:szCs w:val="24"/>
          <w:highlight w:val="none"/>
          <w:lang w:val="en-US" w:eastAsia="zh-CN"/>
        </w:rPr>
        <w:t xml:space="preserve">（二）机构设置</w:t>
      </w:r>
      <w:bookmarkEnd w:id="5"/>
      <w:bookmarkEnd w:id="6"/>
    </w:p>
    <w:p>
      <w:pPr>
        <w:spacing w:beforeLines="0" w:afterLines="0" w:line="600" w:lineRule="exact"/>
        <w:ind w:firstLine="640"/>
        <w:rPr>
          <w:rFonts w:ascii="仿宋" w:eastAsia="仿宋" w:hAnsi="仿宋" w:hint="eastAsia"/>
          <w:color w:val="000000"/>
          <w:sz w:val="32"/>
          <w:szCs w:val="24"/>
          <w:highlight w:val="none"/>
          <w:lang w:val="en-US"/>
        </w:rPr>
      </w:pPr>
      <w:r>
        <w:rPr>
          <w:rFonts w:ascii="仿宋" w:eastAsia="仿宋" w:hAnsi="仿宋" w:hint="eastAsia"/>
          <w:color w:val="000000"/>
          <w:sz w:val="32"/>
          <w:szCs w:val="24"/>
          <w:highlight w:val="none"/>
          <w:lang w:val="en-US"/>
        </w:rPr>
        <w:t xml:space="preserve">从预算单位构成看，本单位内设：</w:t>
      </w:r>
      <w:r>
        <w:rPr>
          <w:rFonts w:ascii="仿宋" w:eastAsia="仿宋" w:hAnsi="仿宋" w:cs="仿宋" w:hint="eastAsia"/>
          <w:kern w:val="0"/>
          <w:sz w:val="32"/>
          <w:szCs w:val="32"/>
          <w:highlight w:val="none"/>
          <w:lang w:val="en-US" w:eastAsia="zh-CN"/>
        </w:rPr>
        <w:t xml:space="preserve">综合科、受理科、支付科、动态监控科、核算科。</w:t>
      </w:r>
    </w:p>
    <w:p>
      <w:pPr>
        <w:pStyle w:val="Heading1"/>
        <w:keepNext/>
        <w:keepLines/>
        <w:pageBreakBefore w:val="0"/>
        <w:widowControl w:val="0"/>
        <w:kinsoku/>
        <w:wordWrap/>
        <w:overflowPunct/>
        <w:topLinePunct w:val="0"/>
        <w:autoSpaceDE/>
        <w:autoSpaceDN/>
        <w:bidi w:val="0"/>
        <w:adjustRightInd/>
        <w:snapToGrid/>
        <w:spacing w:before="0" w:after="0"/>
        <w:textAlignment w:val="auto"/>
        <w:rPr>
          <w:rFonts w:ascii="黑体" w:eastAsia="黑体" w:hAnsi="黑体" w:hint="eastAsia"/>
          <w:b w:val="0"/>
          <w:bCs/>
          <w:color w:val="000000"/>
          <w:sz w:val="32"/>
          <w:szCs w:val="24"/>
          <w:highlight w:val="none"/>
          <w:lang w:val="en-US" w:eastAsia="zh-CN"/>
        </w:rPr>
        <w:sectPr>
          <w:footerReference w:type="default" r:id="rId5"/>
          <w:pgSz w:w="11906" w:h="16838" w:orient="portrait"/>
          <w:pgMar w:top="1440" w:right="1800" w:bottom="1440" w:left="1800" w:header="851" w:footer="992" w:gutter="0"/>
          <w:pgBorders/>
          <w:pgNumType w:fmt="decimal" w:start="1"/>
          <w:cols w:num="1" w:space="425">
            <w:col w:w="8306" w:space="425"/>
          </w:cols>
          <w:docGrid w:type="lines" w:linePitch="312" w:charSpace="0"/>
        </w:sectPr>
      </w:pPr>
      <w:bookmarkStart w:id="7" w:name="_Toc19701"/>
    </w:p>
    <w:p>
      <w:pPr>
        <w:pStyle w:val="Heading1"/>
        <w:keepNext/>
        <w:keepLines/>
        <w:pageBreakBefore w:val="0"/>
        <w:widowControl w:val="0"/>
        <w:kinsoku/>
        <w:wordWrap/>
        <w:overflowPunct/>
        <w:topLinePunct w:val="0"/>
        <w:autoSpaceDE/>
        <w:autoSpaceDN/>
        <w:bidi w:val="0"/>
        <w:adjustRightInd/>
        <w:snapToGrid/>
        <w:spacing w:before="0" w:after="0"/>
        <w:textAlignment w:val="auto"/>
        <w:rPr>
          <w:rFonts w:ascii="黑体" w:eastAsia="黑体" w:hAnsi="黑体" w:hint="eastAsia"/>
          <w:b w:val="0"/>
          <w:bCs/>
          <w:color w:val="000000"/>
          <w:sz w:val="32"/>
          <w:szCs w:val="24"/>
          <w:highlight w:val="none"/>
          <w:lang w:val="en-US" w:eastAsia="zh-CN"/>
        </w:rPr>
      </w:pPr>
      <w:bookmarkEnd w:id="7"/>
      <w:bookmarkStart w:id="8" w:name="_Toc28993"/>
      <w:bookmarkStart w:id="9" w:name="_Toc_1_2_0000000035"/>
      <w:r>
        <w:rPr>
          <w:rFonts w:ascii="黑体" w:eastAsia="黑体" w:hAnsi="黑体" w:hint="eastAsia"/>
          <w:b w:val="0"/>
          <w:bCs/>
          <w:color w:val="000000"/>
          <w:sz w:val="32"/>
          <w:szCs w:val="24"/>
          <w:highlight w:val="none"/>
          <w:lang w:val="en-US" w:eastAsia="zh-CN"/>
        </w:rPr>
        <w:t xml:space="preserve">二、2023年度单位决算公开表</w:t>
      </w:r>
      <w:bookmarkEnd w:id="9"/>
    </w:p>
    <w:p>
      <w:pPr>
        <w:pStyle w:val="Heading2"/>
        <w:bidi w:val="0"/>
        <w:jc w:val="center"/>
        <w:outlineLvl w:val="1"/>
        <w:rPr>
          <w:rFonts w:ascii="楷体" w:eastAsia="楷体" w:hAnsi="楷体" w:cs="楷体" w:hint="eastAsia"/>
          <w:b w:val="0"/>
          <w:bCs/>
          <w:lang w:val="en-US" w:eastAsia="zh-CN"/>
        </w:rPr>
      </w:pPr>
      <w:bookmarkStart w:id="10" w:name="_Toc_1_2_0000000036"/>
      <w:r>
        <w:rPr>
          <w:rFonts w:ascii="楷体" w:eastAsia="楷体" w:hAnsi="楷体" w:cs="楷体" w:hint="eastAsia"/>
          <w:b w:val="0"/>
          <w:bCs/>
          <w:lang w:val="en-US" w:eastAsia="zh-CN"/>
        </w:rPr>
        <w:t xml:space="preserve">2023年度收入支出决算总表</w:t>
      </w:r>
      <w:bookmarkEnd w:id="1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公开01表</w:t>
            </w:r>
          </w:p>
        </w:tc>
      </w:tr>
      <w:tr>
        <w:trPr>
          <w:trHeight w:hRule="auto" w:val="0"/>
          <w:jc w:val="center"/>
        </w:trPr>
        <w:tc>
          <w:tcPr>
            <w:tcW w:w="5979" w:type="dxa"/>
            <w:tcBorders/>
          </w:tcPr>
          <w:p>
            <w:pPr>
              <w:jc w:val="left"/>
            </w:pPr>
            <w:r>
              <w:rPr>
                <w:rFonts w:ascii="宋体" w:eastAsia="宋体" w:hAnsi="宋体" w:cs="宋体"/>
                <w:sz w:val="20"/>
              </w:rPr>
              <w:t xml:space="preserve">单位：衢州市财政国库支付中心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80"/>
        <w:gridCol w:w="560"/>
        <w:gridCol w:w="2240"/>
        <w:gridCol w:w="4180"/>
        <w:gridCol w:w="560"/>
        <w:gridCol w:w="2238"/>
      </w:tblGrid>
      <w:tr>
        <w:trPr>
          <w:trHeight w:hRule="exact" w:val="402"/>
          <w:jc w:val="center"/>
        </w:trPr>
        <w:tc>
          <w:tcPr>
            <w:tcW w:w="6980" w:type="dxa"/>
            <w:gridSpan w:val="3"/>
            <w:vAlign w:val="center"/>
          </w:tcPr>
          <w:p>
            <w:pPr>
              <w:jc w:val="center"/>
            </w:pPr>
            <w:r>
              <w:rPr>
                <w:rFonts w:ascii="宋体" w:eastAsia="宋体" w:hAnsi="宋体" w:cs="宋体"/>
                <w:b w:val="0"/>
                <w:i w:val="0"/>
                <w:color w:val="000000"/>
                <w:sz w:val="21"/>
              </w:rPr>
              <w:t xml:space="preserve">收     入</w:t>
            </w:r>
          </w:p>
        </w:tc>
        <w:tc>
          <w:tcPr>
            <w:tcW w:w="6978" w:type="dxa"/>
            <w:gridSpan w:val="3"/>
            <w:vAlign w:val="center"/>
          </w:tcPr>
          <w:p>
            <w:pPr>
              <w:jc w:val="center"/>
            </w:pPr>
            <w:r>
              <w:rPr>
                <w:rFonts w:ascii="宋体" w:eastAsia="宋体" w:hAnsi="宋体" w:cs="宋体"/>
                <w:b w:val="0"/>
                <w:i w:val="0"/>
                <w:color w:val="000000"/>
                <w:sz w:val="21"/>
              </w:rPr>
              <w:t xml:space="preserve">支     出</w:t>
            </w:r>
          </w:p>
        </w:tc>
      </w:tr>
      <w:tr>
        <w:trPr>
          <w:trHeight w:hRule="exact" w:val="402"/>
          <w:jc w:val="center"/>
        </w:trPr>
        <w:tc>
          <w:tcPr>
            <w:tcW w:w="4180" w:type="dxa"/>
            <w:tcBorders/>
            <w:vAlign w:val="center"/>
          </w:tcPr>
          <w:p>
            <w:pPr>
              <w:jc w:val="center"/>
            </w:pPr>
            <w:r>
              <w:rPr>
                <w:rFonts w:ascii="宋体" w:eastAsia="宋体" w:hAnsi="宋体" w:cs="宋体"/>
                <w:b w:val="0"/>
                <w:i w:val="0"/>
                <w:color w:val="000000"/>
                <w:sz w:val="21"/>
              </w:rPr>
              <w:t xml:space="preserve">项   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40" w:type="dxa"/>
            <w:tcBorders/>
            <w:vAlign w:val="center"/>
          </w:tcPr>
          <w:p>
            <w:pPr>
              <w:jc w:val="center"/>
            </w:pPr>
            <w:r>
              <w:rPr>
                <w:rFonts w:ascii="宋体" w:eastAsia="宋体" w:hAnsi="宋体" w:cs="宋体"/>
                <w:b w:val="0"/>
                <w:i w:val="0"/>
                <w:color w:val="000000"/>
                <w:sz w:val="21"/>
              </w:rPr>
              <w:t xml:space="preserve">金额</w:t>
            </w:r>
          </w:p>
        </w:tc>
        <w:tc>
          <w:tcPr>
            <w:tcW w:w="4180" w:type="dxa"/>
            <w:tcBorders/>
            <w:vAlign w:val="center"/>
          </w:tcPr>
          <w:p>
            <w:pPr>
              <w:jc w:val="center"/>
            </w:pPr>
            <w:r>
              <w:rPr>
                <w:rFonts w:ascii="宋体" w:eastAsia="宋体" w:hAnsi="宋体" w:cs="宋体"/>
                <w:b w:val="0"/>
                <w:i w:val="0"/>
                <w:color w:val="000000"/>
                <w:sz w:val="21"/>
              </w:rPr>
              <w:t xml:space="preserve">项   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38" w:type="dxa"/>
            <w:tcBorders/>
            <w:vAlign w:val="center"/>
          </w:tcPr>
          <w:p>
            <w:pPr>
              <w:jc w:val="center"/>
            </w:pPr>
            <w:r>
              <w:rPr>
                <w:rFonts w:ascii="宋体" w:eastAsia="宋体" w:hAnsi="宋体" w:cs="宋体"/>
                <w:b w:val="0"/>
                <w:i w:val="0"/>
                <w:color w:val="000000"/>
                <w:sz w:val="21"/>
              </w:rPr>
              <w:t xml:space="preserve">金额</w:t>
            </w:r>
          </w:p>
        </w:tc>
      </w:tr>
      <w:tr>
        <w:trPr>
          <w:trHeight w:hRule="exact" w:val="402"/>
          <w:jc w:val="center"/>
        </w:trPr>
        <w:tc>
          <w:tcPr>
            <w:tcW w:w="4180" w:type="dxa"/>
            <w:tcBorders/>
            <w:vAlign w:val="center"/>
          </w:tcPr>
          <w:p>
            <w:pPr>
              <w:jc w:val="center"/>
            </w:pPr>
            <w:r>
              <w:rPr>
                <w:rFonts w:ascii="宋体" w:eastAsia="宋体" w:hAnsi="宋体" w:cs="宋体"/>
                <w:b w:val="0"/>
                <w:i w:val="0"/>
                <w:color w:val="000000"/>
                <w:sz w:val="21"/>
              </w:rPr>
              <w:t xml:space="preserve">栏   次</w:t>
            </w:r>
          </w:p>
        </w:tc>
        <w:tc>
          <w:tcPr>
            <w:tcW w:w="560" w:type="dxa"/>
            <w:tcBorders/>
            <w:vAlign w:val="center"/>
          </w:tcPr>
          <w:p>
            <w:pPr/>
          </w:p>
        </w:tc>
        <w:tc>
          <w:tcPr>
            <w:tcW w:w="2240" w:type="dxa"/>
            <w:tcBorders/>
            <w:vAlign w:val="center"/>
          </w:tcPr>
          <w:p>
            <w:pPr>
              <w:jc w:val="center"/>
            </w:pPr>
            <w:r>
              <w:rPr>
                <w:rFonts w:ascii="宋体" w:eastAsia="宋体" w:hAnsi="宋体" w:cs="宋体"/>
                <w:b w:val="0"/>
                <w:i w:val="0"/>
                <w:color w:val="000000"/>
                <w:sz w:val="21"/>
              </w:rPr>
              <w:t xml:space="preserve">1</w:t>
            </w:r>
          </w:p>
        </w:tc>
        <w:tc>
          <w:tcPr>
            <w:tcW w:w="4180" w:type="dxa"/>
            <w:tcBorders/>
            <w:vAlign w:val="center"/>
          </w:tcPr>
          <w:p>
            <w:pPr>
              <w:jc w:val="center"/>
            </w:pPr>
            <w:r>
              <w:rPr>
                <w:rFonts w:ascii="宋体" w:eastAsia="宋体" w:hAnsi="宋体" w:cs="宋体"/>
                <w:b w:val="0"/>
                <w:i w:val="0"/>
                <w:color w:val="000000"/>
                <w:sz w:val="21"/>
              </w:rPr>
              <w:t xml:space="preserve">栏   次</w:t>
            </w:r>
          </w:p>
        </w:tc>
        <w:tc>
          <w:tcPr>
            <w:tcW w:w="560" w:type="dxa"/>
            <w:tcBorders/>
            <w:vAlign w:val="center"/>
          </w:tcPr>
          <w:p>
            <w:pPr/>
          </w:p>
        </w:tc>
        <w:tc>
          <w:tcPr>
            <w:tcW w:w="2238" w:type="dxa"/>
            <w:tcBorders/>
            <w:vAlign w:val="center"/>
          </w:tcPr>
          <w:p>
            <w:pPr>
              <w:jc w:val="center"/>
            </w:pPr>
            <w:r>
              <w:rPr>
                <w:rFonts w:ascii="宋体" w:eastAsia="宋体" w:hAnsi="宋体" w:cs="宋体"/>
                <w:b w:val="0"/>
                <w:i w:val="0"/>
                <w:color w:val="000000"/>
                <w:sz w:val="21"/>
              </w:rPr>
              <w:t xml:space="preserve">2</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560" w:type="dxa"/>
            <w:tcBorders/>
            <w:vAlign w:val="center"/>
          </w:tcPr>
          <w:p>
            <w:pPr>
              <w:jc w:val="center"/>
            </w:pPr>
            <w:r>
              <w:rPr>
                <w:rFonts w:ascii="宋体" w:eastAsia="宋体" w:hAnsi="宋体" w:cs="宋体"/>
                <w:b w:val="0"/>
                <w:i w:val="0"/>
                <w:color w:val="000000"/>
                <w:sz w:val="21"/>
              </w:rPr>
              <w:t xml:space="preserve">1</w:t>
            </w:r>
          </w:p>
        </w:tc>
        <w:tc>
          <w:tcPr>
            <w:tcW w:w="2240" w:type="dxa"/>
            <w:tcBorders/>
            <w:vAlign w:val="center"/>
          </w:tcPr>
          <w:p>
            <w:pPr>
              <w:jc w:val="right"/>
            </w:pPr>
            <w:r>
              <w:rPr>
                <w:rFonts w:ascii="宋体" w:eastAsia="宋体" w:hAnsi="宋体" w:cs="宋体"/>
                <w:b w:val="0"/>
                <w:i w:val="0"/>
                <w:color w:val="000000"/>
                <w:sz w:val="21"/>
              </w:rPr>
              <w:t xml:space="preserve">1,166.34</w:t>
            </w:r>
          </w:p>
        </w:tc>
        <w:tc>
          <w:tcPr>
            <w:tcW w:w="4180" w:type="dxa"/>
            <w:tcBorders/>
            <w:vAlign w:val="center"/>
          </w:tcPr>
          <w:p>
            <w:pPr>
              <w:jc w:val="left"/>
            </w:pPr>
            <w:r>
              <w:rPr>
                <w:rFonts w:ascii="宋体" w:eastAsia="宋体" w:hAnsi="宋体" w:cs="宋体"/>
                <w:b w:val="0"/>
                <w:i w:val="0"/>
                <w:color w:val="000000"/>
                <w:sz w:val="21"/>
              </w:rPr>
              <w:t xml:space="preserve">一、一般公共服务支出</w:t>
            </w:r>
          </w:p>
        </w:tc>
        <w:tc>
          <w:tcPr>
            <w:tcW w:w="560" w:type="dxa"/>
            <w:tcBorders/>
            <w:vAlign w:val="center"/>
          </w:tcPr>
          <w:p>
            <w:pPr>
              <w:jc w:val="center"/>
            </w:pPr>
            <w:r>
              <w:rPr>
                <w:rFonts w:ascii="宋体" w:eastAsia="宋体" w:hAnsi="宋体" w:cs="宋体"/>
                <w:b w:val="0"/>
                <w:i w:val="0"/>
                <w:color w:val="000000"/>
                <w:sz w:val="21"/>
              </w:rPr>
              <w:t xml:space="preserve">32</w:t>
            </w:r>
          </w:p>
        </w:tc>
        <w:tc>
          <w:tcPr>
            <w:tcW w:w="2238" w:type="dxa"/>
            <w:tcBorders/>
            <w:vAlign w:val="center"/>
          </w:tcPr>
          <w:p>
            <w:pPr>
              <w:jc w:val="right"/>
            </w:pPr>
            <w:r>
              <w:rPr>
                <w:rFonts w:ascii="宋体" w:eastAsia="宋体" w:hAnsi="宋体" w:cs="宋体"/>
                <w:b w:val="0"/>
                <w:i w:val="0"/>
                <w:color w:val="000000"/>
                <w:sz w:val="21"/>
              </w:rPr>
              <w:t xml:space="preserve">950.94</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560" w:type="dxa"/>
            <w:tcBorders/>
            <w:vAlign w:val="center"/>
          </w:tcPr>
          <w:p>
            <w:pPr>
              <w:jc w:val="center"/>
            </w:pPr>
            <w:r>
              <w:rPr>
                <w:rFonts w:ascii="宋体" w:eastAsia="宋体" w:hAnsi="宋体" w:cs="宋体"/>
                <w:b w:val="0"/>
                <w:i w:val="0"/>
                <w:color w:val="000000"/>
                <w:sz w:val="21"/>
              </w:rPr>
              <w:t xml:space="preserve">2</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二、外交支出</w:t>
            </w:r>
          </w:p>
        </w:tc>
        <w:tc>
          <w:tcPr>
            <w:tcW w:w="560" w:type="dxa"/>
            <w:tcBorders/>
            <w:vAlign w:val="center"/>
          </w:tcPr>
          <w:p>
            <w:pPr>
              <w:jc w:val="center"/>
            </w:pPr>
            <w:r>
              <w:rPr>
                <w:rFonts w:ascii="宋体" w:eastAsia="宋体" w:hAnsi="宋体" w:cs="宋体"/>
                <w:b w:val="0"/>
                <w:i w:val="0"/>
                <w:color w:val="000000"/>
                <w:sz w:val="21"/>
              </w:rPr>
              <w:t xml:space="preserve">33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560" w:type="dxa"/>
            <w:tcBorders/>
            <w:vAlign w:val="center"/>
          </w:tcPr>
          <w:p>
            <w:pPr>
              <w:jc w:val="center"/>
            </w:pPr>
            <w:r>
              <w:rPr>
                <w:rFonts w:ascii="宋体" w:eastAsia="宋体" w:hAnsi="宋体" w:cs="宋体"/>
                <w:b w:val="0"/>
                <w:i w:val="0"/>
                <w:color w:val="000000"/>
                <w:sz w:val="21"/>
              </w:rPr>
              <w:t xml:space="preserve">3</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三、国防支出</w:t>
            </w:r>
          </w:p>
        </w:tc>
        <w:tc>
          <w:tcPr>
            <w:tcW w:w="560" w:type="dxa"/>
            <w:tcBorders/>
            <w:vAlign w:val="center"/>
          </w:tcPr>
          <w:p>
            <w:pPr>
              <w:jc w:val="center"/>
            </w:pPr>
            <w:r>
              <w:rPr>
                <w:rFonts w:ascii="宋体" w:eastAsia="宋体" w:hAnsi="宋体" w:cs="宋体"/>
                <w:b w:val="0"/>
                <w:i w:val="0"/>
                <w:color w:val="000000"/>
                <w:sz w:val="21"/>
              </w:rPr>
              <w:t xml:space="preserve">34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四、上级补助收入</w:t>
            </w:r>
          </w:p>
        </w:tc>
        <w:tc>
          <w:tcPr>
            <w:tcW w:w="560" w:type="dxa"/>
            <w:tcBorders/>
            <w:vAlign w:val="center"/>
          </w:tcPr>
          <w:p>
            <w:pPr>
              <w:jc w:val="center"/>
            </w:pPr>
            <w:r>
              <w:rPr>
                <w:rFonts w:ascii="宋体" w:eastAsia="宋体" w:hAnsi="宋体" w:cs="宋体"/>
                <w:b w:val="0"/>
                <w:i w:val="0"/>
                <w:color w:val="000000"/>
                <w:sz w:val="21"/>
              </w:rPr>
              <w:t xml:space="preserve">4</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四、公共安全支出</w:t>
            </w:r>
          </w:p>
        </w:tc>
        <w:tc>
          <w:tcPr>
            <w:tcW w:w="560" w:type="dxa"/>
            <w:tcBorders/>
            <w:vAlign w:val="center"/>
          </w:tcPr>
          <w:p>
            <w:pPr>
              <w:jc w:val="center"/>
            </w:pPr>
            <w:r>
              <w:rPr>
                <w:rFonts w:ascii="宋体" w:eastAsia="宋体" w:hAnsi="宋体" w:cs="宋体"/>
                <w:b w:val="0"/>
                <w:i w:val="0"/>
                <w:color w:val="000000"/>
                <w:sz w:val="21"/>
              </w:rPr>
              <w:t xml:space="preserve">35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五、事业收入</w:t>
            </w:r>
          </w:p>
        </w:tc>
        <w:tc>
          <w:tcPr>
            <w:tcW w:w="560" w:type="dxa"/>
            <w:tcBorders/>
            <w:vAlign w:val="center"/>
          </w:tcPr>
          <w:p>
            <w:pPr>
              <w:jc w:val="center"/>
            </w:pPr>
            <w:r>
              <w:rPr>
                <w:rFonts w:ascii="宋体" w:eastAsia="宋体" w:hAnsi="宋体" w:cs="宋体"/>
                <w:b w:val="0"/>
                <w:i w:val="0"/>
                <w:color w:val="000000"/>
                <w:sz w:val="21"/>
              </w:rPr>
              <w:t xml:space="preserve">5</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五、教育支出</w:t>
            </w:r>
          </w:p>
        </w:tc>
        <w:tc>
          <w:tcPr>
            <w:tcW w:w="560" w:type="dxa"/>
            <w:tcBorders/>
            <w:vAlign w:val="center"/>
          </w:tcPr>
          <w:p>
            <w:pPr>
              <w:jc w:val="center"/>
            </w:pPr>
            <w:r>
              <w:rPr>
                <w:rFonts w:ascii="宋体" w:eastAsia="宋体" w:hAnsi="宋体" w:cs="宋体"/>
                <w:b w:val="0"/>
                <w:i w:val="0"/>
                <w:color w:val="000000"/>
                <w:sz w:val="21"/>
              </w:rPr>
              <w:t xml:space="preserve">36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六、经营收入</w:t>
            </w:r>
          </w:p>
        </w:tc>
        <w:tc>
          <w:tcPr>
            <w:tcW w:w="560" w:type="dxa"/>
            <w:tcBorders/>
            <w:vAlign w:val="center"/>
          </w:tcPr>
          <w:p>
            <w:pPr>
              <w:jc w:val="center"/>
            </w:pPr>
            <w:r>
              <w:rPr>
                <w:rFonts w:ascii="宋体" w:eastAsia="宋体" w:hAnsi="宋体" w:cs="宋体"/>
                <w:b w:val="0"/>
                <w:i w:val="0"/>
                <w:color w:val="000000"/>
                <w:sz w:val="21"/>
              </w:rPr>
              <w:t xml:space="preserve">6</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六、科学技术支出</w:t>
            </w:r>
          </w:p>
        </w:tc>
        <w:tc>
          <w:tcPr>
            <w:tcW w:w="560" w:type="dxa"/>
            <w:tcBorders/>
            <w:vAlign w:val="center"/>
          </w:tcPr>
          <w:p>
            <w:pPr>
              <w:jc w:val="center"/>
            </w:pPr>
            <w:r>
              <w:rPr>
                <w:rFonts w:ascii="宋体" w:eastAsia="宋体" w:hAnsi="宋体" w:cs="宋体"/>
                <w:b w:val="0"/>
                <w:i w:val="0"/>
                <w:color w:val="000000"/>
                <w:sz w:val="21"/>
              </w:rPr>
              <w:t xml:space="preserve">37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七、附属单位上缴收入</w:t>
            </w:r>
          </w:p>
        </w:tc>
        <w:tc>
          <w:tcPr>
            <w:tcW w:w="560" w:type="dxa"/>
            <w:tcBorders/>
            <w:vAlign w:val="center"/>
          </w:tcPr>
          <w:p>
            <w:pPr>
              <w:jc w:val="center"/>
            </w:pPr>
            <w:r>
              <w:rPr>
                <w:rFonts w:ascii="宋体" w:eastAsia="宋体" w:hAnsi="宋体" w:cs="宋体"/>
                <w:b w:val="0"/>
                <w:i w:val="0"/>
                <w:color w:val="000000"/>
                <w:sz w:val="21"/>
              </w:rPr>
              <w:t xml:space="preserve">7</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七、文化旅游体育与传媒支出</w:t>
            </w:r>
          </w:p>
        </w:tc>
        <w:tc>
          <w:tcPr>
            <w:tcW w:w="560" w:type="dxa"/>
            <w:tcBorders/>
            <w:vAlign w:val="center"/>
          </w:tcPr>
          <w:p>
            <w:pPr>
              <w:jc w:val="center"/>
            </w:pPr>
            <w:r>
              <w:rPr>
                <w:rFonts w:ascii="宋体" w:eastAsia="宋体" w:hAnsi="宋体" w:cs="宋体"/>
                <w:b w:val="0"/>
                <w:i w:val="0"/>
                <w:color w:val="000000"/>
                <w:sz w:val="21"/>
              </w:rPr>
              <w:t xml:space="preserve">38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八、其他收入</w:t>
            </w:r>
          </w:p>
        </w:tc>
        <w:tc>
          <w:tcPr>
            <w:tcW w:w="560" w:type="dxa"/>
            <w:tcBorders/>
            <w:vAlign w:val="center"/>
          </w:tcPr>
          <w:p>
            <w:pPr>
              <w:jc w:val="center"/>
            </w:pPr>
            <w:r>
              <w:rPr>
                <w:rFonts w:ascii="宋体" w:eastAsia="宋体" w:hAnsi="宋体" w:cs="宋体"/>
                <w:b w:val="0"/>
                <w:i w:val="0"/>
                <w:color w:val="000000"/>
                <w:sz w:val="21"/>
              </w:rPr>
              <w:t xml:space="preserve">8</w:t>
            </w:r>
          </w:p>
        </w:tc>
        <w:tc>
          <w:tcPr>
            <w:tcW w:w="2240" w:type="dxa"/>
            <w:tcBorders/>
            <w:vAlign w:val="center"/>
          </w:tcPr>
          <w:p>
            <w:pPr>
              <w:jc w:val="right"/>
            </w:pPr>
            <w:r>
              <w:rPr>
                <w:rFonts w:ascii="宋体" w:eastAsia="宋体" w:hAnsi="宋体" w:cs="宋体"/>
                <w:b w:val="0"/>
                <w:i w:val="0"/>
                <w:color w:val="000000"/>
                <w:sz w:val="21"/>
              </w:rPr>
              <w:t xml:space="preserve">33.08</w:t>
            </w:r>
          </w:p>
        </w:tc>
        <w:tc>
          <w:tcPr>
            <w:tcW w:w="4180" w:type="dxa"/>
            <w:tcBorders/>
            <w:vAlign w:val="center"/>
          </w:tcPr>
          <w:p>
            <w:pPr>
              <w:jc w:val="left"/>
            </w:pPr>
            <w:r>
              <w:rPr>
                <w:rFonts w:ascii="宋体" w:eastAsia="宋体" w:hAnsi="宋体" w:cs="宋体"/>
                <w:b w:val="0"/>
                <w:i w:val="0"/>
                <w:color w:val="000000"/>
                <w:sz w:val="21"/>
              </w:rPr>
              <w:t xml:space="preserve">八、社会保障和就业支出</w:t>
            </w:r>
          </w:p>
        </w:tc>
        <w:tc>
          <w:tcPr>
            <w:tcW w:w="560" w:type="dxa"/>
            <w:tcBorders/>
            <w:vAlign w:val="center"/>
          </w:tcPr>
          <w:p>
            <w:pPr>
              <w:jc w:val="center"/>
            </w:pPr>
            <w:r>
              <w:rPr>
                <w:rFonts w:ascii="宋体" w:eastAsia="宋体" w:hAnsi="宋体" w:cs="宋体"/>
                <w:b w:val="0"/>
                <w:i w:val="0"/>
                <w:color w:val="000000"/>
                <w:sz w:val="21"/>
              </w:rPr>
              <w:t xml:space="preserve">39</w:t>
            </w:r>
          </w:p>
        </w:tc>
        <w:tc>
          <w:tcPr>
            <w:tcW w:w="2238" w:type="dxa"/>
            <w:tcBorders/>
            <w:vAlign w:val="center"/>
          </w:tcPr>
          <w:p>
            <w:pPr>
              <w:jc w:val="right"/>
            </w:pPr>
            <w:r>
              <w:rPr>
                <w:rFonts w:ascii="宋体" w:eastAsia="宋体" w:hAnsi="宋体" w:cs="宋体"/>
                <w:b w:val="0"/>
                <w:i w:val="0"/>
                <w:color w:val="000000"/>
                <w:sz w:val="21"/>
              </w:rPr>
              <w:t xml:space="preserve">129.83</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九、卫生健康支出</w:t>
            </w:r>
          </w:p>
        </w:tc>
        <w:tc>
          <w:tcPr>
            <w:tcW w:w="560" w:type="dxa"/>
            <w:tcBorders/>
            <w:vAlign w:val="center"/>
          </w:tcPr>
          <w:p>
            <w:pPr>
              <w:jc w:val="center"/>
            </w:pPr>
            <w:r>
              <w:rPr>
                <w:rFonts w:ascii="宋体" w:eastAsia="宋体" w:hAnsi="宋体" w:cs="宋体"/>
                <w:b w:val="0"/>
                <w:i w:val="0"/>
                <w:color w:val="000000"/>
                <w:sz w:val="21"/>
              </w:rPr>
              <w:t xml:space="preserve">40</w:t>
            </w:r>
          </w:p>
        </w:tc>
        <w:tc>
          <w:tcPr>
            <w:tcW w:w="2238" w:type="dxa"/>
            <w:tcBorders/>
            <w:vAlign w:val="center"/>
          </w:tcPr>
          <w:p>
            <w:pPr>
              <w:jc w:val="right"/>
            </w:pPr>
            <w:r>
              <w:rPr>
                <w:rFonts w:ascii="宋体" w:eastAsia="宋体" w:hAnsi="宋体" w:cs="宋体"/>
                <w:b w:val="0"/>
                <w:i w:val="0"/>
                <w:color w:val="000000"/>
                <w:sz w:val="21"/>
              </w:rPr>
              <w:t xml:space="preserve">19.34</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十、节能环保支出</w:t>
            </w:r>
          </w:p>
        </w:tc>
        <w:tc>
          <w:tcPr>
            <w:tcW w:w="560" w:type="dxa"/>
            <w:tcBorders/>
            <w:vAlign w:val="center"/>
          </w:tcPr>
          <w:p>
            <w:pPr>
              <w:jc w:val="center"/>
            </w:pPr>
            <w:r>
              <w:rPr>
                <w:rFonts w:ascii="宋体" w:eastAsia="宋体" w:hAnsi="宋体" w:cs="宋体"/>
                <w:b w:val="0"/>
                <w:i w:val="0"/>
                <w:color w:val="000000"/>
                <w:sz w:val="21"/>
              </w:rPr>
              <w:t xml:space="preserve">41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十一、城乡社区支出</w:t>
            </w:r>
          </w:p>
        </w:tc>
        <w:tc>
          <w:tcPr>
            <w:tcW w:w="560" w:type="dxa"/>
            <w:tcBorders/>
            <w:vAlign w:val="center"/>
          </w:tcPr>
          <w:p>
            <w:pPr>
              <w:jc w:val="center"/>
            </w:pPr>
            <w:r>
              <w:rPr>
                <w:rFonts w:ascii="宋体" w:eastAsia="宋体" w:hAnsi="宋体" w:cs="宋体"/>
                <w:b w:val="0"/>
                <w:i w:val="0"/>
                <w:color w:val="000000"/>
                <w:sz w:val="21"/>
              </w:rPr>
              <w:t xml:space="preserve">42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十二、农林水支出</w:t>
            </w:r>
          </w:p>
        </w:tc>
        <w:tc>
          <w:tcPr>
            <w:tcW w:w="560" w:type="dxa"/>
            <w:tcBorders/>
            <w:vAlign w:val="center"/>
          </w:tcPr>
          <w:p>
            <w:pPr>
              <w:jc w:val="center"/>
            </w:pPr>
            <w:r>
              <w:rPr>
                <w:rFonts w:ascii="宋体" w:eastAsia="宋体" w:hAnsi="宋体" w:cs="宋体"/>
                <w:b w:val="0"/>
                <w:i w:val="0"/>
                <w:color w:val="000000"/>
                <w:sz w:val="21"/>
              </w:rPr>
              <w:t xml:space="preserve">43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十三、交通运输支出</w:t>
            </w:r>
          </w:p>
        </w:tc>
        <w:tc>
          <w:tcPr>
            <w:tcW w:w="560" w:type="dxa"/>
            <w:tcBorders/>
            <w:vAlign w:val="center"/>
          </w:tcPr>
          <w:p>
            <w:pPr>
              <w:jc w:val="center"/>
            </w:pPr>
            <w:r>
              <w:rPr>
                <w:rFonts w:ascii="宋体" w:eastAsia="宋体" w:hAnsi="宋体" w:cs="宋体"/>
                <w:b w:val="0"/>
                <w:i w:val="0"/>
                <w:color w:val="000000"/>
                <w:sz w:val="21"/>
              </w:rPr>
              <w:t xml:space="preserve">44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560" w:type="dxa"/>
            <w:tcBorders/>
            <w:vAlign w:val="center"/>
          </w:tcPr>
          <w:p>
            <w:pPr>
              <w:jc w:val="center"/>
            </w:pPr>
            <w:r>
              <w:rPr>
                <w:rFonts w:ascii="宋体" w:eastAsia="宋体" w:hAnsi="宋体" w:cs="宋体"/>
                <w:b w:val="0"/>
                <w:i w:val="0"/>
                <w:color w:val="000000"/>
                <w:sz w:val="21"/>
              </w:rPr>
              <w:t xml:space="preserve">45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十五、商业服务业等支出</w:t>
            </w:r>
          </w:p>
        </w:tc>
        <w:tc>
          <w:tcPr>
            <w:tcW w:w="560" w:type="dxa"/>
            <w:tcBorders/>
            <w:vAlign w:val="center"/>
          </w:tcPr>
          <w:p>
            <w:pPr>
              <w:jc w:val="center"/>
            </w:pPr>
            <w:r>
              <w:rPr>
                <w:rFonts w:ascii="宋体" w:eastAsia="宋体" w:hAnsi="宋体" w:cs="宋体"/>
                <w:b w:val="0"/>
                <w:i w:val="0"/>
                <w:color w:val="000000"/>
                <w:sz w:val="21"/>
              </w:rPr>
              <w:t xml:space="preserve">46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十六、金融支出</w:t>
            </w:r>
          </w:p>
        </w:tc>
        <w:tc>
          <w:tcPr>
            <w:tcW w:w="560" w:type="dxa"/>
            <w:tcBorders/>
            <w:vAlign w:val="center"/>
          </w:tcPr>
          <w:p>
            <w:pPr>
              <w:jc w:val="center"/>
            </w:pPr>
            <w:r>
              <w:rPr>
                <w:rFonts w:ascii="宋体" w:eastAsia="宋体" w:hAnsi="宋体" w:cs="宋体"/>
                <w:b w:val="0"/>
                <w:i w:val="0"/>
                <w:color w:val="000000"/>
                <w:sz w:val="21"/>
              </w:rPr>
              <w:t xml:space="preserve">47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17</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十七、援助其他地区支出</w:t>
            </w:r>
          </w:p>
        </w:tc>
        <w:tc>
          <w:tcPr>
            <w:tcW w:w="560" w:type="dxa"/>
            <w:tcBorders/>
            <w:vAlign w:val="center"/>
          </w:tcPr>
          <w:p>
            <w:pPr>
              <w:jc w:val="center"/>
            </w:pPr>
            <w:r>
              <w:rPr>
                <w:rFonts w:ascii="宋体" w:eastAsia="宋体" w:hAnsi="宋体" w:cs="宋体"/>
                <w:b w:val="0"/>
                <w:i w:val="0"/>
                <w:color w:val="000000"/>
                <w:sz w:val="21"/>
              </w:rPr>
              <w:t xml:space="preserve">48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18</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560" w:type="dxa"/>
            <w:tcBorders/>
            <w:vAlign w:val="center"/>
          </w:tcPr>
          <w:p>
            <w:pPr>
              <w:jc w:val="center"/>
            </w:pPr>
            <w:r>
              <w:rPr>
                <w:rFonts w:ascii="宋体" w:eastAsia="宋体" w:hAnsi="宋体" w:cs="宋体"/>
                <w:b w:val="0"/>
                <w:i w:val="0"/>
                <w:color w:val="000000"/>
                <w:sz w:val="21"/>
              </w:rPr>
              <w:t xml:space="preserve">49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十九、住房保障支出</w:t>
            </w:r>
          </w:p>
        </w:tc>
        <w:tc>
          <w:tcPr>
            <w:tcW w:w="560" w:type="dxa"/>
            <w:tcBorders/>
            <w:vAlign w:val="center"/>
          </w:tcPr>
          <w:p>
            <w:pPr>
              <w:jc w:val="center"/>
            </w:pPr>
            <w:r>
              <w:rPr>
                <w:rFonts w:ascii="宋体" w:eastAsia="宋体" w:hAnsi="宋体" w:cs="宋体"/>
                <w:b w:val="0"/>
                <w:i w:val="0"/>
                <w:color w:val="000000"/>
                <w:sz w:val="21"/>
              </w:rPr>
              <w:t xml:space="preserve">50</w:t>
            </w:r>
          </w:p>
        </w:tc>
        <w:tc>
          <w:tcPr>
            <w:tcW w:w="2238" w:type="dxa"/>
            <w:tcBorders/>
            <w:vAlign w:val="center"/>
          </w:tcPr>
          <w:p>
            <w:pPr>
              <w:jc w:val="right"/>
            </w:pPr>
            <w:r>
              <w:rPr>
                <w:rFonts w:ascii="宋体" w:eastAsia="宋体" w:hAnsi="宋体" w:cs="宋体"/>
                <w:b w:val="0"/>
                <w:i w:val="0"/>
                <w:color w:val="000000"/>
                <w:sz w:val="21"/>
              </w:rPr>
              <w:t xml:space="preserve">99.31</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二十、粮油物资储备支出</w:t>
            </w:r>
          </w:p>
        </w:tc>
        <w:tc>
          <w:tcPr>
            <w:tcW w:w="560" w:type="dxa"/>
            <w:tcBorders/>
            <w:vAlign w:val="center"/>
          </w:tcPr>
          <w:p>
            <w:pPr>
              <w:jc w:val="center"/>
            </w:pPr>
            <w:r>
              <w:rPr>
                <w:rFonts w:ascii="宋体" w:eastAsia="宋体" w:hAnsi="宋体" w:cs="宋体"/>
                <w:b w:val="0"/>
                <w:i w:val="0"/>
                <w:color w:val="000000"/>
                <w:sz w:val="21"/>
              </w:rPr>
              <w:t xml:space="preserve">51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560" w:type="dxa"/>
            <w:tcBorders/>
            <w:vAlign w:val="center"/>
          </w:tcPr>
          <w:p>
            <w:pPr>
              <w:jc w:val="center"/>
            </w:pPr>
            <w:r>
              <w:rPr>
                <w:rFonts w:ascii="宋体" w:eastAsia="宋体" w:hAnsi="宋体" w:cs="宋体"/>
                <w:b w:val="0"/>
                <w:i w:val="0"/>
                <w:color w:val="000000"/>
                <w:sz w:val="21"/>
              </w:rPr>
              <w:t xml:space="preserve">52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560" w:type="dxa"/>
            <w:tcBorders/>
            <w:vAlign w:val="center"/>
          </w:tcPr>
          <w:p>
            <w:pPr>
              <w:jc w:val="center"/>
            </w:pPr>
            <w:r>
              <w:rPr>
                <w:rFonts w:ascii="宋体" w:eastAsia="宋体" w:hAnsi="宋体" w:cs="宋体"/>
                <w:b w:val="0"/>
                <w:i w:val="0"/>
                <w:color w:val="000000"/>
                <w:sz w:val="21"/>
              </w:rPr>
              <w:t xml:space="preserve">53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二十三、其他支出</w:t>
            </w:r>
          </w:p>
        </w:tc>
        <w:tc>
          <w:tcPr>
            <w:tcW w:w="560" w:type="dxa"/>
            <w:tcBorders/>
            <w:vAlign w:val="center"/>
          </w:tcPr>
          <w:p>
            <w:pPr>
              <w:jc w:val="center"/>
            </w:pPr>
            <w:r>
              <w:rPr>
                <w:rFonts w:ascii="宋体" w:eastAsia="宋体" w:hAnsi="宋体" w:cs="宋体"/>
                <w:b w:val="0"/>
                <w:i w:val="0"/>
                <w:color w:val="000000"/>
                <w:sz w:val="21"/>
              </w:rPr>
              <w:t xml:space="preserve">54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二十四、债务还本支出</w:t>
            </w:r>
          </w:p>
        </w:tc>
        <w:tc>
          <w:tcPr>
            <w:tcW w:w="560" w:type="dxa"/>
            <w:tcBorders/>
            <w:vAlign w:val="center"/>
          </w:tcPr>
          <w:p>
            <w:pPr>
              <w:jc w:val="center"/>
            </w:pPr>
            <w:r>
              <w:rPr>
                <w:rFonts w:ascii="宋体" w:eastAsia="宋体" w:hAnsi="宋体" w:cs="宋体"/>
                <w:b w:val="0"/>
                <w:i w:val="0"/>
                <w:color w:val="000000"/>
                <w:sz w:val="21"/>
              </w:rPr>
              <w:t xml:space="preserve">55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二十五、债务付息支出</w:t>
            </w:r>
          </w:p>
        </w:tc>
        <w:tc>
          <w:tcPr>
            <w:tcW w:w="560" w:type="dxa"/>
            <w:tcBorders/>
            <w:vAlign w:val="center"/>
          </w:tcPr>
          <w:p>
            <w:pPr>
              <w:jc w:val="center"/>
            </w:pPr>
            <w:r>
              <w:rPr>
                <w:rFonts w:ascii="宋体" w:eastAsia="宋体" w:hAnsi="宋体" w:cs="宋体"/>
                <w:b w:val="0"/>
                <w:i w:val="0"/>
                <w:color w:val="000000"/>
                <w:sz w:val="21"/>
              </w:rPr>
              <w:t xml:space="preserve">56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560" w:type="dxa"/>
            <w:tcBorders/>
            <w:vAlign w:val="center"/>
          </w:tcPr>
          <w:p>
            <w:pPr>
              <w:jc w:val="center"/>
            </w:pPr>
            <w:r>
              <w:rPr>
                <w:rFonts w:ascii="宋体" w:eastAsia="宋体" w:hAnsi="宋体" w:cs="宋体"/>
                <w:b w:val="0"/>
                <w:i w:val="0"/>
                <w:color w:val="000000"/>
                <w:sz w:val="21"/>
              </w:rPr>
              <w:t xml:space="preserve">57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center"/>
            </w:pPr>
            <w:r>
              <w:rPr>
                <w:rFonts w:ascii="宋体" w:eastAsia="宋体" w:hAnsi="宋体" w:cs="宋体"/>
                <w:b/>
                <w:i w:val="0"/>
                <w:color w:val="000000"/>
                <w:sz w:val="21"/>
              </w:rPr>
              <w:t xml:space="preserve">本年收入合计</w:t>
            </w:r>
          </w:p>
        </w:tc>
        <w:tc>
          <w:tcPr>
            <w:tcW w:w="560" w:type="dxa"/>
            <w:tcBorders/>
            <w:vAlign w:val="center"/>
          </w:tcPr>
          <w:p>
            <w:pPr>
              <w:jc w:val="center"/>
            </w:pPr>
            <w:r>
              <w:rPr>
                <w:rFonts w:ascii="宋体" w:eastAsia="宋体" w:hAnsi="宋体" w:cs="宋体"/>
                <w:b w:val="0"/>
                <w:i w:val="0"/>
                <w:color w:val="000000"/>
                <w:sz w:val="21"/>
              </w:rPr>
              <w:t xml:space="preserve">27</w:t>
            </w:r>
          </w:p>
        </w:tc>
        <w:tc>
          <w:tcPr>
            <w:tcW w:w="2240" w:type="dxa"/>
            <w:tcBorders/>
            <w:vAlign w:val="center"/>
          </w:tcPr>
          <w:p>
            <w:pPr>
              <w:jc w:val="right"/>
            </w:pPr>
            <w:r>
              <w:rPr>
                <w:rFonts w:ascii="宋体" w:eastAsia="宋体" w:hAnsi="宋体" w:cs="宋体"/>
                <w:b w:val="0"/>
                <w:i w:val="0"/>
                <w:color w:val="000000"/>
                <w:sz w:val="21"/>
              </w:rPr>
              <w:t xml:space="preserve">1,199.42</w:t>
            </w:r>
          </w:p>
        </w:tc>
        <w:tc>
          <w:tcPr>
            <w:tcW w:w="4180" w:type="dxa"/>
            <w:tcBorders/>
            <w:vAlign w:val="center"/>
          </w:tcPr>
          <w:p>
            <w:pPr>
              <w:jc w:val="center"/>
            </w:pPr>
            <w:r>
              <w:rPr>
                <w:rFonts w:ascii="宋体" w:eastAsia="宋体" w:hAnsi="宋体" w:cs="宋体"/>
                <w:b/>
                <w:i w:val="0"/>
                <w:color w:val="000000"/>
                <w:sz w:val="21"/>
              </w:rPr>
              <w:t xml:space="preserve">本年支出合计</w:t>
            </w:r>
          </w:p>
        </w:tc>
        <w:tc>
          <w:tcPr>
            <w:tcW w:w="560" w:type="dxa"/>
            <w:tcBorders/>
            <w:vAlign w:val="center"/>
          </w:tcPr>
          <w:p>
            <w:pPr>
              <w:jc w:val="center"/>
            </w:pPr>
            <w:r>
              <w:rPr>
                <w:rFonts w:ascii="宋体" w:eastAsia="宋体" w:hAnsi="宋体" w:cs="宋体"/>
                <w:b w:val="0"/>
                <w:i w:val="0"/>
                <w:color w:val="000000"/>
                <w:sz w:val="21"/>
              </w:rPr>
              <w:t xml:space="preserve">58</w:t>
            </w:r>
          </w:p>
        </w:tc>
        <w:tc>
          <w:tcPr>
            <w:tcW w:w="2238" w:type="dxa"/>
            <w:tcBorders/>
            <w:vAlign w:val="center"/>
          </w:tcPr>
          <w:p>
            <w:pPr>
              <w:jc w:val="right"/>
            </w:pPr>
            <w:r>
              <w:rPr>
                <w:rFonts w:ascii="宋体" w:eastAsia="宋体" w:hAnsi="宋体" w:cs="宋体"/>
                <w:b w:val="0"/>
                <w:i w:val="0"/>
                <w:color w:val="000000"/>
                <w:sz w:val="21"/>
              </w:rPr>
              <w:t xml:space="preserve">1,199.42</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    使用非财政拨款结余</w:t>
            </w:r>
          </w:p>
        </w:tc>
        <w:tc>
          <w:tcPr>
            <w:tcW w:w="560" w:type="dxa"/>
            <w:tcBorders/>
            <w:vAlign w:val="center"/>
          </w:tcPr>
          <w:p>
            <w:pPr>
              <w:jc w:val="center"/>
            </w:pPr>
            <w:r>
              <w:rPr>
                <w:rFonts w:ascii="宋体" w:eastAsia="宋体" w:hAnsi="宋体" w:cs="宋体"/>
                <w:b w:val="0"/>
                <w:i w:val="0"/>
                <w:color w:val="000000"/>
                <w:sz w:val="21"/>
              </w:rPr>
              <w:t xml:space="preserve">28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    结余分配</w:t>
            </w:r>
          </w:p>
        </w:tc>
        <w:tc>
          <w:tcPr>
            <w:tcW w:w="560" w:type="dxa"/>
            <w:tcBorders/>
            <w:vAlign w:val="center"/>
          </w:tcPr>
          <w:p>
            <w:pPr>
              <w:jc w:val="center"/>
            </w:pPr>
            <w:r>
              <w:rPr>
                <w:rFonts w:ascii="宋体" w:eastAsia="宋体" w:hAnsi="宋体" w:cs="宋体"/>
                <w:b w:val="0"/>
                <w:i w:val="0"/>
                <w:color w:val="000000"/>
                <w:sz w:val="21"/>
              </w:rPr>
              <w:t xml:space="preserve">59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    年初结转和结余</w:t>
            </w:r>
          </w:p>
        </w:tc>
        <w:tc>
          <w:tcPr>
            <w:tcW w:w="560" w:type="dxa"/>
            <w:tcBorders/>
            <w:vAlign w:val="center"/>
          </w:tcPr>
          <w:p>
            <w:pPr>
              <w:jc w:val="center"/>
            </w:pPr>
            <w:r>
              <w:rPr>
                <w:rFonts w:ascii="宋体" w:eastAsia="宋体" w:hAnsi="宋体" w:cs="宋体"/>
                <w:b w:val="0"/>
                <w:i w:val="0"/>
                <w:color w:val="000000"/>
                <w:sz w:val="21"/>
              </w:rPr>
              <w:t xml:space="preserve">29</w:t>
            </w:r>
          </w:p>
        </w:tc>
        <w:tc>
          <w:tcPr>
            <w:tcW w:w="2240" w:type="dxa"/>
            <w:tcBorders/>
            <w:vAlign w:val="center"/>
          </w:tcPr>
          <w:p>
            <w:pPr>
              <w:jc w:val="right"/>
            </w:pPr>
            <w:r>
              <w:rPr>
                <w:rFonts w:ascii="宋体" w:eastAsia="宋体" w:hAnsi="宋体" w:cs="宋体"/>
                <w:b w:val="0"/>
                <w:i w:val="0"/>
                <w:color w:val="000000"/>
                <w:sz w:val="21"/>
              </w:rPr>
              <w:t xml:space="preserve">524.64</w:t>
            </w:r>
          </w:p>
        </w:tc>
        <w:tc>
          <w:tcPr>
            <w:tcW w:w="4180" w:type="dxa"/>
            <w:tcBorders/>
            <w:vAlign w:val="center"/>
          </w:tcPr>
          <w:p>
            <w:pPr>
              <w:jc w:val="left"/>
            </w:pPr>
            <w:r>
              <w:rPr>
                <w:rFonts w:ascii="宋体" w:eastAsia="宋体" w:hAnsi="宋体" w:cs="宋体"/>
                <w:b w:val="0"/>
                <w:i w:val="0"/>
                <w:color w:val="000000"/>
                <w:sz w:val="21"/>
              </w:rPr>
              <w:t xml:space="preserve">    年末结转和结余</w:t>
            </w:r>
          </w:p>
        </w:tc>
        <w:tc>
          <w:tcPr>
            <w:tcW w:w="560" w:type="dxa"/>
            <w:tcBorders/>
            <w:vAlign w:val="center"/>
          </w:tcPr>
          <w:p>
            <w:pPr>
              <w:jc w:val="center"/>
            </w:pPr>
            <w:r>
              <w:rPr>
                <w:rFonts w:ascii="宋体" w:eastAsia="宋体" w:hAnsi="宋体" w:cs="宋体"/>
                <w:b w:val="0"/>
                <w:i w:val="0"/>
                <w:color w:val="000000"/>
                <w:sz w:val="21"/>
              </w:rPr>
              <w:t xml:space="preserve">60</w:t>
            </w:r>
          </w:p>
        </w:tc>
        <w:tc>
          <w:tcPr>
            <w:tcW w:w="2238" w:type="dxa"/>
            <w:tcBorders/>
            <w:vAlign w:val="center"/>
          </w:tcPr>
          <w:p>
            <w:pPr>
              <w:jc w:val="right"/>
            </w:pPr>
            <w:r>
              <w:rPr>
                <w:rFonts w:ascii="宋体" w:eastAsia="宋体" w:hAnsi="宋体" w:cs="宋体"/>
                <w:b w:val="0"/>
                <w:i w:val="0"/>
                <w:color w:val="000000"/>
                <w:sz w:val="21"/>
              </w:rPr>
              <w:t xml:space="preserve">524.64</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30</w:t>
            </w:r>
          </w:p>
        </w:tc>
        <w:tc>
          <w:tcPr>
            <w:tcW w:w="2240" w:type="dxa"/>
            <w:tcBorders/>
            <w:vAlign w:val="center"/>
          </w:tcPr>
          <w:p>
            <w:pPr/>
          </w:p>
        </w:tc>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61</w:t>
            </w:r>
          </w:p>
        </w:tc>
        <w:tc>
          <w:tcPr>
            <w:tcW w:w="2238" w:type="dxa"/>
            <w:tcBorders/>
            <w:vAlign w:val="center"/>
          </w:tcPr>
          <w:p>
            <w:pPr/>
          </w:p>
        </w:tc>
      </w:tr>
      <w:tr>
        <w:trPr>
          <w:trHeight w:hRule="exact" w:val="402"/>
          <w:jc w:val="center"/>
        </w:trPr>
        <w:tc>
          <w:tcPr>
            <w:tcW w:w="4180" w:type="dxa"/>
            <w:tcBorders/>
            <w:vAlign w:val="center"/>
          </w:tcPr>
          <w:p>
            <w:pPr>
              <w:jc w:val="center"/>
            </w:pPr>
            <w:r>
              <w:rPr>
                <w:rFonts w:ascii="宋体" w:eastAsia="宋体" w:hAnsi="宋体" w:cs="宋体"/>
                <w:b/>
                <w:i w:val="0"/>
                <w:color w:val="000000"/>
                <w:sz w:val="21"/>
              </w:rPr>
              <w:t xml:space="preserve">总   计</w:t>
            </w:r>
          </w:p>
        </w:tc>
        <w:tc>
          <w:tcPr>
            <w:tcW w:w="560" w:type="dxa"/>
            <w:tcBorders/>
            <w:vAlign w:val="center"/>
          </w:tcPr>
          <w:p>
            <w:pPr>
              <w:jc w:val="center"/>
            </w:pPr>
            <w:r>
              <w:rPr>
                <w:rFonts w:ascii="宋体" w:eastAsia="宋体" w:hAnsi="宋体" w:cs="宋体"/>
                <w:b w:val="0"/>
                <w:i w:val="0"/>
                <w:color w:val="000000"/>
                <w:sz w:val="21"/>
              </w:rPr>
              <w:t xml:space="preserve">31</w:t>
            </w:r>
          </w:p>
        </w:tc>
        <w:tc>
          <w:tcPr>
            <w:tcW w:w="2240" w:type="dxa"/>
            <w:tcBorders/>
            <w:vAlign w:val="center"/>
          </w:tcPr>
          <w:p>
            <w:pPr>
              <w:jc w:val="right"/>
            </w:pPr>
            <w:r>
              <w:rPr>
                <w:rFonts w:ascii="宋体" w:eastAsia="宋体" w:hAnsi="宋体" w:cs="宋体"/>
                <w:b w:val="0"/>
                <w:i w:val="0"/>
                <w:color w:val="000000"/>
                <w:sz w:val="21"/>
              </w:rPr>
              <w:t xml:space="preserve">1,724.06</w:t>
            </w:r>
          </w:p>
        </w:tc>
        <w:tc>
          <w:tcPr>
            <w:tcW w:w="4180" w:type="dxa"/>
            <w:tcBorders/>
            <w:vAlign w:val="center"/>
          </w:tcPr>
          <w:p>
            <w:pPr>
              <w:jc w:val="center"/>
            </w:pPr>
            <w:r>
              <w:rPr>
                <w:rFonts w:ascii="宋体" w:eastAsia="宋体" w:hAnsi="宋体" w:cs="宋体"/>
                <w:b/>
                <w:i w:val="0"/>
                <w:color w:val="000000"/>
                <w:sz w:val="21"/>
              </w:rPr>
              <w:t xml:space="preserve">总   计</w:t>
            </w:r>
          </w:p>
        </w:tc>
        <w:tc>
          <w:tcPr>
            <w:tcW w:w="560" w:type="dxa"/>
            <w:tcBorders/>
            <w:vAlign w:val="center"/>
          </w:tcPr>
          <w:p>
            <w:pPr>
              <w:jc w:val="center"/>
            </w:pPr>
            <w:r>
              <w:rPr>
                <w:rFonts w:ascii="宋体" w:eastAsia="宋体" w:hAnsi="宋体" w:cs="宋体"/>
                <w:b w:val="0"/>
                <w:i w:val="0"/>
                <w:color w:val="000000"/>
                <w:sz w:val="21"/>
              </w:rPr>
              <w:t xml:space="preserve">62</w:t>
            </w:r>
          </w:p>
        </w:tc>
        <w:tc>
          <w:tcPr>
            <w:tcW w:w="2238" w:type="dxa"/>
            <w:tcBorders/>
            <w:vAlign w:val="center"/>
          </w:tcPr>
          <w:p>
            <w:pPr>
              <w:jc w:val="right"/>
            </w:pPr>
            <w:r>
              <w:rPr>
                <w:rFonts w:ascii="宋体" w:eastAsia="宋体" w:hAnsi="宋体" w:cs="宋体"/>
                <w:b w:val="0"/>
                <w:i w:val="0"/>
                <w:color w:val="000000"/>
                <w:sz w:val="21"/>
              </w:rPr>
              <w:t xml:space="preserve">1,724.06</w:t>
            </w:r>
          </w:p>
        </w:tc>
      </w:tr>
      <w:tr>
        <w:trPr>
          <w:trHeight w:hRule="exact" w:val="402"/>
          <w:jc w:val="center"/>
        </w:trPr>
        <w:tc>
          <w:tcPr>
            <w:tcW w:w="1395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注：1.本表反映本年度的总收支和年末结转结余情况，本套报表金额单位转换时可能存在尾数误差。</w:t>
            </w:r>
          </w:p>
        </w:tc>
      </w:tr>
    </w:tbl>
    <w:p>
      <w:pPr>
        <w:snapToGrid w:val="0"/>
        <w:spacing w:before="0" w:after="0" w:line="0"/>
      </w:pPr>
      <w:r>
        <w:rPr>
          <w:sz w:val="8"/>
        </w:rPr>
        <w:t xml:space="preserve"> </w:t>
      </w:r>
    </w:p>
    <w:p>
      <w:pPr>
        <w:pStyle w:val="Heading2"/>
        <w:bidi w:val="0"/>
        <w:jc w:val="both"/>
        <w:outlineLvl w:val="0"/>
        <w:rPr>
          <w:rFonts w:ascii="楷体" w:eastAsia="楷体" w:hAnsi="楷体" w:cs="楷体" w:hint="eastAsia"/>
          <w:b w:val="0"/>
          <w:bCs/>
          <w:lang w:val="en-US" w:eastAsia="zh-CN"/>
        </w:rPr>
        <w:sectPr>
          <w:pgSz w:w="16838" w:h="11906" w:orient="landscape"/>
          <w:pgMar w:top="1134" w:right="1440" w:bottom="1134" w:left="1440" w:header="720" w:footer="720" w:gutter="0"/>
          <w:pgBorders/>
          <w:pgNumType w:fmt="decimal"/>
          <w:cols w:num="1" w:space="425">
            <w:col w:w="13958" w:space="425"/>
          </w:cols>
          <w:docGrid w:type="lines" w:linePitch="312" w:charSpace="0"/>
        </w:sectPr>
      </w:pPr>
    </w:p>
    <w:p>
      <w:pPr>
        <w:pStyle w:val="Heading2"/>
        <w:bidi w:val="0"/>
        <w:jc w:val="center"/>
        <w:outlineLvl w:val="1"/>
        <w:rPr>
          <w:rFonts w:ascii="楷体" w:eastAsia="楷体" w:hAnsi="楷体" w:cs="楷体" w:hint="eastAsia"/>
          <w:b w:val="0"/>
          <w:bCs/>
          <w:lang w:val="en-US" w:eastAsia="zh-CN"/>
        </w:rPr>
      </w:pPr>
      <w:bookmarkStart w:id="11" w:name="_Toc_1_2_0000000037"/>
      <w:r>
        <w:rPr>
          <w:rFonts w:ascii="楷体" w:eastAsia="楷体" w:hAnsi="楷体" w:cs="楷体" w:hint="eastAsia"/>
          <w:b w:val="0"/>
          <w:bCs/>
          <w:lang w:val="en-US" w:eastAsia="zh-CN"/>
        </w:rPr>
        <w:t xml:space="preserve">2023年度收入决算表（分单位）</w:t>
      </w:r>
      <w:bookmarkEnd w:id="8"/>
      <w:bookmarkEnd w:id="1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公开02表</w:t>
            </w:r>
          </w:p>
        </w:tc>
      </w:tr>
      <w:tr>
        <w:trPr>
          <w:trHeight w:hRule="auto" w:val="0"/>
          <w:jc w:val="center"/>
        </w:trPr>
        <w:tc>
          <w:tcPr>
            <w:tcW w:w="5979" w:type="dxa"/>
            <w:tcBorders/>
          </w:tcPr>
          <w:p>
            <w:pPr>
              <w:jc w:val="left"/>
            </w:pPr>
            <w:r>
              <w:rPr>
                <w:rFonts w:ascii="宋体" w:eastAsia="宋体" w:hAnsi="宋体" w:cs="宋体"/>
                <w:sz w:val="20"/>
              </w:rPr>
              <w:t xml:space="preserve">单位：衢州市财政国库支付中心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480"/>
        <w:gridCol w:w="1500"/>
        <w:gridCol w:w="1500"/>
        <w:gridCol w:w="1500"/>
        <w:gridCol w:w="1500"/>
        <w:gridCol w:w="1500"/>
        <w:gridCol w:w="1500"/>
        <w:gridCol w:w="1478"/>
      </w:tblGrid>
      <w:tr>
        <w:trPr>
          <w:trHeight w:hRule="exact" w:val="768"/>
          <w:jc w:val="center"/>
        </w:trPr>
        <w:tc>
          <w:tcPr>
            <w:tcW w:w="3480" w:type="dxa"/>
            <w:vMerge w:val="restart"/>
            <w:vAlign w:val="center"/>
          </w:tcPr>
          <w:p>
            <w:pPr>
              <w:jc w:val="center"/>
            </w:pPr>
            <w:r>
              <w:rPr>
                <w:rFonts w:ascii="宋体" w:eastAsia="宋体" w:hAnsi="宋体" w:cs="宋体"/>
                <w:b w:val="0"/>
                <w:i w:val="0"/>
                <w:color w:val="000000"/>
                <w:sz w:val="17"/>
              </w:rPr>
              <w:t xml:space="preserve">单位名称</w:t>
            </w:r>
          </w:p>
        </w:tc>
        <w:tc>
          <w:tcPr>
            <w:tcW w:w="1500" w:type="dxa"/>
            <w:vMerge w:val="restart"/>
            <w:vAlign w:val="center"/>
          </w:tcPr>
          <w:p>
            <w:pPr>
              <w:jc w:val="center"/>
            </w:pPr>
            <w:r>
              <w:rPr>
                <w:rFonts w:ascii="宋体" w:eastAsia="宋体" w:hAnsi="宋体" w:cs="宋体"/>
                <w:b w:val="0"/>
                <w:i w:val="0"/>
                <w:color w:val="000000"/>
                <w:sz w:val="17"/>
              </w:rPr>
              <w:t xml:space="preserve">本年收入合计</w:t>
            </w:r>
          </w:p>
        </w:tc>
        <w:tc>
          <w:tcPr>
            <w:tcW w:w="1500" w:type="dxa"/>
            <w:vMerge w:val="restart"/>
            <w:vAlign w:val="center"/>
          </w:tcPr>
          <w:p>
            <w:pPr>
              <w:jc w:val="center"/>
            </w:pPr>
            <w:r>
              <w:rPr>
                <w:rFonts w:ascii="宋体" w:eastAsia="宋体" w:hAnsi="宋体" w:cs="宋体"/>
                <w:b w:val="0"/>
                <w:i w:val="0"/>
                <w:color w:val="000000"/>
                <w:sz w:val="17"/>
              </w:rPr>
              <w:t xml:space="preserve">财政拨款收入</w:t>
            </w:r>
          </w:p>
        </w:tc>
        <w:tc>
          <w:tcPr>
            <w:tcW w:w="1500" w:type="dxa"/>
            <w:vMerge w:val="restart"/>
            <w:vAlign w:val="center"/>
          </w:tcPr>
          <w:p>
            <w:pPr>
              <w:jc w:val="center"/>
            </w:pPr>
            <w:r>
              <w:rPr>
                <w:rFonts w:ascii="宋体" w:eastAsia="宋体" w:hAnsi="宋体" w:cs="宋体"/>
                <w:b w:val="0"/>
                <w:i w:val="0"/>
                <w:color w:val="000000"/>
                <w:sz w:val="17"/>
              </w:rPr>
              <w:t xml:space="preserve">上级补助收入</w:t>
            </w:r>
          </w:p>
        </w:tc>
        <w:tc>
          <w:tcPr>
            <w:tcW w:w="1500" w:type="dxa"/>
            <w:vMerge w:val="restart"/>
            <w:vAlign w:val="center"/>
          </w:tcPr>
          <w:p>
            <w:pPr>
              <w:jc w:val="center"/>
            </w:pPr>
            <w:r>
              <w:rPr>
                <w:rFonts w:ascii="宋体" w:eastAsia="宋体" w:hAnsi="宋体" w:cs="宋体"/>
                <w:b w:val="0"/>
                <w:i w:val="0"/>
                <w:color w:val="000000"/>
                <w:sz w:val="17"/>
              </w:rPr>
              <w:t xml:space="preserve">事业收入</w:t>
            </w:r>
          </w:p>
        </w:tc>
        <w:tc>
          <w:tcPr>
            <w:tcW w:w="1500" w:type="dxa"/>
            <w:vMerge w:val="restart"/>
            <w:vAlign w:val="center"/>
          </w:tcPr>
          <w:p>
            <w:pPr>
              <w:jc w:val="center"/>
            </w:pPr>
            <w:r>
              <w:rPr>
                <w:rFonts w:ascii="宋体" w:eastAsia="宋体" w:hAnsi="宋体" w:cs="宋体"/>
                <w:b w:val="0"/>
                <w:i w:val="0"/>
                <w:color w:val="000000"/>
                <w:sz w:val="17"/>
              </w:rPr>
              <w:t xml:space="preserve">经营收入</w:t>
            </w:r>
          </w:p>
        </w:tc>
        <w:tc>
          <w:tcPr>
            <w:tcW w:w="1500" w:type="dxa"/>
            <w:vMerge w:val="restart"/>
            <w:vAlign w:val="center"/>
          </w:tcPr>
          <w:p>
            <w:pPr>
              <w:jc w:val="center"/>
            </w:pPr>
            <w:r>
              <w:rPr>
                <w:rFonts w:ascii="宋体" w:eastAsia="宋体" w:hAnsi="宋体" w:cs="宋体"/>
                <w:b w:val="0"/>
                <w:i w:val="0"/>
                <w:color w:val="000000"/>
                <w:sz w:val="17"/>
              </w:rPr>
              <w:t xml:space="preserve">附属单位上缴收入</w:t>
            </w:r>
          </w:p>
        </w:tc>
        <w:tc>
          <w:tcPr>
            <w:tcW w:w="147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768"/>
          <w:jc w:val="center"/>
        </w:trPr>
        <w:tc>
          <w:tcPr>
            <w:tcW w:w="3480" w:type="dxa"/>
            <w:vMerge/>
            <w:tcBorders/>
            <w:vAlign w:val="center"/>
          </w:tcPr>
          <w:p>
            <w:pPr/>
          </w:p>
        </w:tc>
        <w:tc>
          <w:tcPr>
            <w:tcW w:w="1500" w:type="dxa"/>
            <w:vMerge/>
            <w:tcBorders/>
            <w:vAlign w:val="center"/>
          </w:tcPr>
          <w:p>
            <w:pPr/>
          </w:p>
        </w:tc>
        <w:tc>
          <w:tcPr>
            <w:tcW w:w="1500" w:type="dxa"/>
            <w:vMerge/>
            <w:tcBorders/>
            <w:vAlign w:val="center"/>
          </w:tcPr>
          <w:p>
            <w:pPr/>
          </w:p>
        </w:tc>
        <w:tc>
          <w:tcPr>
            <w:tcW w:w="1500" w:type="dxa"/>
            <w:vMerge/>
            <w:tcBorders/>
            <w:vAlign w:val="center"/>
          </w:tcPr>
          <w:p>
            <w:pPr/>
          </w:p>
        </w:tc>
        <w:tc>
          <w:tcPr>
            <w:tcW w:w="1500" w:type="dxa"/>
            <w:vMerge/>
            <w:tcBorders/>
            <w:vAlign w:val="center"/>
          </w:tcPr>
          <w:p>
            <w:pPr/>
          </w:p>
        </w:tc>
        <w:tc>
          <w:tcPr>
            <w:tcW w:w="1500" w:type="dxa"/>
            <w:vMerge/>
            <w:tcBorders/>
            <w:vAlign w:val="center"/>
          </w:tcPr>
          <w:p>
            <w:pPr/>
          </w:p>
        </w:tc>
        <w:tc>
          <w:tcPr>
            <w:tcW w:w="1500" w:type="dxa"/>
            <w:vMerge/>
            <w:tcBorders/>
            <w:vAlign w:val="center"/>
          </w:tcPr>
          <w:p>
            <w:pPr/>
          </w:p>
        </w:tc>
        <w:tc>
          <w:tcPr>
            <w:tcW w:w="1478" w:type="dxa"/>
            <w:vMerge/>
            <w:tcBorders/>
            <w:vAlign w:val="center"/>
          </w:tcPr>
          <w:p>
            <w:pPr/>
          </w:p>
        </w:tc>
      </w:tr>
      <w:tr>
        <w:trPr>
          <w:trHeight w:hRule="exact" w:val="393"/>
          <w:jc w:val="center"/>
        </w:trPr>
        <w:tc>
          <w:tcPr>
            <w:tcW w:w="3480" w:type="dxa"/>
            <w:tcBorders/>
            <w:vAlign w:val="center"/>
          </w:tcPr>
          <w:p>
            <w:pPr>
              <w:jc w:val="center"/>
            </w:pPr>
            <w:r>
              <w:rPr>
                <w:rFonts w:ascii="宋体" w:eastAsia="宋体" w:hAnsi="宋体" w:cs="宋体"/>
                <w:b w:val="0"/>
                <w:i w:val="0"/>
                <w:color w:val="000000"/>
                <w:sz w:val="17"/>
              </w:rPr>
              <w:t xml:space="preserve">栏次</w:t>
            </w:r>
          </w:p>
        </w:tc>
        <w:tc>
          <w:tcPr>
            <w:tcW w:w="1500" w:type="dxa"/>
            <w:tcBorders/>
            <w:vAlign w:val="center"/>
          </w:tcPr>
          <w:p>
            <w:pPr>
              <w:jc w:val="center"/>
            </w:pPr>
            <w:r>
              <w:rPr>
                <w:rFonts w:ascii="宋体" w:eastAsia="宋体" w:hAnsi="宋体" w:cs="宋体"/>
                <w:b w:val="0"/>
                <w:i w:val="0"/>
                <w:color w:val="000000"/>
                <w:sz w:val="17"/>
              </w:rPr>
              <w:t xml:space="preserve">1</w:t>
            </w:r>
          </w:p>
        </w:tc>
        <w:tc>
          <w:tcPr>
            <w:tcW w:w="1500" w:type="dxa"/>
            <w:tcBorders/>
            <w:vAlign w:val="center"/>
          </w:tcPr>
          <w:p>
            <w:pPr>
              <w:jc w:val="center"/>
            </w:pPr>
            <w:r>
              <w:rPr>
                <w:rFonts w:ascii="宋体" w:eastAsia="宋体" w:hAnsi="宋体" w:cs="宋体"/>
                <w:b w:val="0"/>
                <w:i w:val="0"/>
                <w:color w:val="000000"/>
                <w:sz w:val="17"/>
              </w:rPr>
              <w:t xml:space="preserve">2</w:t>
            </w:r>
          </w:p>
        </w:tc>
        <w:tc>
          <w:tcPr>
            <w:tcW w:w="1500" w:type="dxa"/>
            <w:tcBorders/>
            <w:vAlign w:val="center"/>
          </w:tcPr>
          <w:p>
            <w:pPr>
              <w:jc w:val="center"/>
            </w:pPr>
            <w:r>
              <w:rPr>
                <w:rFonts w:ascii="宋体" w:eastAsia="宋体" w:hAnsi="宋体" w:cs="宋体"/>
                <w:b w:val="0"/>
                <w:i w:val="0"/>
                <w:color w:val="000000"/>
                <w:sz w:val="17"/>
              </w:rPr>
              <w:t xml:space="preserve">3</w:t>
            </w:r>
          </w:p>
        </w:tc>
        <w:tc>
          <w:tcPr>
            <w:tcW w:w="1500" w:type="dxa"/>
            <w:tcBorders/>
            <w:vAlign w:val="center"/>
          </w:tcPr>
          <w:p>
            <w:pPr>
              <w:jc w:val="center"/>
            </w:pPr>
            <w:r>
              <w:rPr>
                <w:rFonts w:ascii="宋体" w:eastAsia="宋体" w:hAnsi="宋体" w:cs="宋体"/>
                <w:b w:val="0"/>
                <w:i w:val="0"/>
                <w:color w:val="000000"/>
                <w:sz w:val="17"/>
              </w:rPr>
              <w:t xml:space="preserve">4</w:t>
            </w:r>
          </w:p>
        </w:tc>
        <w:tc>
          <w:tcPr>
            <w:tcW w:w="1500" w:type="dxa"/>
            <w:tcBorders/>
            <w:vAlign w:val="center"/>
          </w:tcPr>
          <w:p>
            <w:pPr>
              <w:jc w:val="center"/>
            </w:pPr>
            <w:r>
              <w:rPr>
                <w:rFonts w:ascii="宋体" w:eastAsia="宋体" w:hAnsi="宋体" w:cs="宋体"/>
                <w:b w:val="0"/>
                <w:i w:val="0"/>
                <w:color w:val="000000"/>
                <w:sz w:val="17"/>
              </w:rPr>
              <w:t xml:space="preserve">5</w:t>
            </w:r>
          </w:p>
        </w:tc>
        <w:tc>
          <w:tcPr>
            <w:tcW w:w="1500" w:type="dxa"/>
            <w:tcBorders/>
            <w:vAlign w:val="center"/>
          </w:tcPr>
          <w:p>
            <w:pPr>
              <w:jc w:val="center"/>
            </w:pPr>
            <w:r>
              <w:rPr>
                <w:rFonts w:ascii="宋体" w:eastAsia="宋体" w:hAnsi="宋体" w:cs="宋体"/>
                <w:b w:val="0"/>
                <w:i w:val="0"/>
                <w:color w:val="000000"/>
                <w:sz w:val="17"/>
              </w:rPr>
              <w:t xml:space="preserve">6</w:t>
            </w:r>
          </w:p>
        </w:tc>
        <w:tc>
          <w:tcPr>
            <w:tcW w:w="1478" w:type="dxa"/>
            <w:tcBorders/>
            <w:vAlign w:val="center"/>
          </w:tcPr>
          <w:p>
            <w:pPr>
              <w:jc w:val="center"/>
            </w:pPr>
            <w:r>
              <w:rPr>
                <w:rFonts w:ascii="宋体" w:eastAsia="宋体" w:hAnsi="宋体" w:cs="宋体"/>
                <w:b w:val="0"/>
                <w:i w:val="0"/>
                <w:color w:val="000000"/>
                <w:sz w:val="17"/>
              </w:rPr>
              <w:t xml:space="preserve">7</w:t>
            </w:r>
          </w:p>
        </w:tc>
      </w:tr>
      <w:tr>
        <w:trPr>
          <w:trHeight w:hRule="exact" w:val="375"/>
          <w:jc w:val="center"/>
        </w:trPr>
        <w:tc>
          <w:tcPr>
            <w:tcW w:w="3480" w:type="dxa"/>
            <w:tcBorders/>
            <w:vAlign w:val="center"/>
          </w:tcPr>
          <w:p>
            <w:pPr>
              <w:jc w:val="center"/>
            </w:pPr>
            <w:r>
              <w:rPr>
                <w:rFonts w:ascii="宋体" w:eastAsia="宋体" w:hAnsi="宋体" w:cs="宋体"/>
                <w:b w:val="0"/>
                <w:i w:val="0"/>
                <w:color w:val="000000"/>
                <w:sz w:val="17"/>
              </w:rPr>
              <w:t xml:space="preserve">合计</w:t>
            </w:r>
          </w:p>
        </w:tc>
        <w:tc>
          <w:tcPr>
            <w:tcW w:w="1500" w:type="dxa"/>
            <w:tcBorders/>
            <w:vAlign w:val="center"/>
          </w:tcPr>
          <w:p>
            <w:pPr>
              <w:jc w:val="right"/>
            </w:pPr>
            <w:r>
              <w:rPr>
                <w:rFonts w:ascii="宋体" w:eastAsia="宋体" w:hAnsi="宋体" w:cs="宋体"/>
                <w:b w:val="0"/>
                <w:i w:val="0"/>
                <w:color w:val="000000"/>
                <w:sz w:val="17"/>
              </w:rPr>
              <w:t xml:space="preserve">1,199.42</w:t>
            </w:r>
          </w:p>
        </w:tc>
        <w:tc>
          <w:tcPr>
            <w:tcW w:w="1500" w:type="dxa"/>
            <w:tcBorders/>
            <w:vAlign w:val="center"/>
          </w:tcPr>
          <w:p>
            <w:pPr>
              <w:jc w:val="right"/>
            </w:pPr>
            <w:r>
              <w:rPr>
                <w:rFonts w:ascii="宋体" w:eastAsia="宋体" w:hAnsi="宋体" w:cs="宋体"/>
                <w:b w:val="0"/>
                <w:i w:val="0"/>
                <w:color w:val="000000"/>
                <w:sz w:val="17"/>
              </w:rPr>
              <w:t xml:space="preserve">1,166.34</w:t>
            </w:r>
          </w:p>
        </w:tc>
        <w:tc>
          <w:tcPr>
            <w:tcW w:w="1500" w:type="dxa"/>
            <w:tcBorders/>
            <w:vAlign w:val="center"/>
          </w:tcPr>
          <w:p>
            <w:pPr>
              <w:jc w:val="right"/>
            </w:pPr>
            <w:r>
              <w:rPr>
                <w:rFonts w:ascii="宋体" w:eastAsia="宋体" w:hAnsi="宋体" w:cs="宋体"/>
                <w:b w:val="0"/>
                <w:i w:val="0"/>
                <w:color w:val="000000"/>
                <w:sz w:val="17"/>
              </w:rPr>
              <w:t xml:space="preserve">0.00</w:t>
            </w:r>
          </w:p>
        </w:tc>
        <w:tc>
          <w:tcPr>
            <w:tcW w:w="1500" w:type="dxa"/>
            <w:tcBorders/>
            <w:vAlign w:val="center"/>
          </w:tcPr>
          <w:p>
            <w:pPr>
              <w:jc w:val="right"/>
            </w:pPr>
            <w:r>
              <w:rPr>
                <w:rFonts w:ascii="宋体" w:eastAsia="宋体" w:hAnsi="宋体" w:cs="宋体"/>
                <w:b w:val="0"/>
                <w:i w:val="0"/>
                <w:color w:val="000000"/>
                <w:sz w:val="17"/>
              </w:rPr>
              <w:t xml:space="preserve">0.00</w:t>
            </w:r>
          </w:p>
        </w:tc>
        <w:tc>
          <w:tcPr>
            <w:tcW w:w="1500" w:type="dxa"/>
            <w:tcBorders/>
            <w:vAlign w:val="center"/>
          </w:tcPr>
          <w:p>
            <w:pPr>
              <w:jc w:val="right"/>
            </w:pPr>
            <w:r>
              <w:rPr>
                <w:rFonts w:ascii="宋体" w:eastAsia="宋体" w:hAnsi="宋体" w:cs="宋体"/>
                <w:b w:val="0"/>
                <w:i w:val="0"/>
                <w:color w:val="000000"/>
                <w:sz w:val="17"/>
              </w:rPr>
              <w:t xml:space="preserve">0.00</w:t>
            </w:r>
          </w:p>
        </w:tc>
        <w:tc>
          <w:tcPr>
            <w:tcW w:w="1500" w:type="dxa"/>
            <w:tcBorders/>
            <w:vAlign w:val="center"/>
          </w:tcPr>
          <w:p>
            <w:pPr>
              <w:jc w:val="right"/>
            </w:pPr>
            <w:r>
              <w:rPr>
                <w:rFonts w:ascii="宋体" w:eastAsia="宋体" w:hAnsi="宋体" w:cs="宋体"/>
                <w:b w:val="0"/>
                <w:i w:val="0"/>
                <w:color w:val="000000"/>
                <w:sz w:val="17"/>
              </w:rPr>
              <w:t xml:space="preserve">0.00</w:t>
            </w:r>
          </w:p>
        </w:tc>
        <w:tc>
          <w:tcPr>
            <w:tcW w:w="1478" w:type="dxa"/>
            <w:tcBorders/>
            <w:vAlign w:val="center"/>
          </w:tcPr>
          <w:p>
            <w:pPr>
              <w:jc w:val="right"/>
            </w:pPr>
            <w:r>
              <w:rPr>
                <w:rFonts w:ascii="宋体" w:eastAsia="宋体" w:hAnsi="宋体" w:cs="宋体"/>
                <w:b w:val="0"/>
                <w:i w:val="0"/>
                <w:color w:val="000000"/>
                <w:sz w:val="17"/>
              </w:rPr>
              <w:t xml:space="preserve">33.08</w:t>
            </w:r>
          </w:p>
        </w:tc>
      </w:tr>
      <w:tr>
        <w:trPr>
          <w:trHeight w:hRule="exact" w:val="524"/>
          <w:jc w:val="center"/>
        </w:trPr>
        <w:tc>
          <w:tcPr>
            <w:tcW w:w="3480" w:type="dxa"/>
            <w:tcBorders/>
            <w:vAlign w:val="center"/>
          </w:tcPr>
          <w:p>
            <w:pPr>
              <w:jc w:val="left"/>
            </w:pPr>
            <w:r>
              <w:rPr>
                <w:rFonts w:ascii="宋体" w:eastAsia="宋体" w:hAnsi="宋体" w:cs="宋体"/>
                <w:b w:val="0"/>
                <w:i w:val="0"/>
                <w:color w:val="000000"/>
                <w:sz w:val="17"/>
              </w:rPr>
              <w:t xml:space="preserve">衢州市财政国库支付中心</w:t>
            </w:r>
          </w:p>
        </w:tc>
        <w:tc>
          <w:tcPr>
            <w:tcW w:w="1500" w:type="dxa"/>
            <w:tcBorders/>
            <w:vAlign w:val="center"/>
          </w:tcPr>
          <w:p>
            <w:pPr>
              <w:jc w:val="right"/>
            </w:pPr>
            <w:r>
              <w:rPr>
                <w:rFonts w:ascii="宋体" w:eastAsia="宋体" w:hAnsi="宋体" w:cs="宋体"/>
                <w:b w:val="0"/>
                <w:i w:val="0"/>
                <w:color w:val="000000"/>
                <w:sz w:val="17"/>
              </w:rPr>
              <w:t xml:space="preserve">1,199.42</w:t>
            </w:r>
          </w:p>
        </w:tc>
        <w:tc>
          <w:tcPr>
            <w:tcW w:w="1500" w:type="dxa"/>
            <w:tcBorders/>
            <w:vAlign w:val="center"/>
          </w:tcPr>
          <w:p>
            <w:pPr>
              <w:jc w:val="right"/>
            </w:pPr>
            <w:r>
              <w:rPr>
                <w:rFonts w:ascii="宋体" w:eastAsia="宋体" w:hAnsi="宋体" w:cs="宋体"/>
                <w:b w:val="0"/>
                <w:i w:val="0"/>
                <w:color w:val="000000"/>
                <w:sz w:val="17"/>
              </w:rPr>
              <w:t xml:space="preserve">1,166.34</w:t>
            </w:r>
          </w:p>
        </w:tc>
        <w:tc>
          <w:tcPr>
            <w:tcW w:w="1500" w:type="dxa"/>
            <w:tcBorders/>
            <w:vAlign w:val="center"/>
          </w:tcPr>
          <w:p>
            <w:pPr>
              <w:jc w:val="right"/>
            </w:pPr>
            <w:r>
              <w:rPr>
                <w:rFonts w:ascii="宋体" w:eastAsia="宋体" w:hAnsi="宋体" w:cs="宋体"/>
                <w:b w:val="0"/>
                <w:i w:val="0"/>
                <w:color w:val="000000"/>
                <w:sz w:val="17"/>
              </w:rPr>
              <w:t xml:space="preserve">0.00</w:t>
            </w:r>
          </w:p>
        </w:tc>
        <w:tc>
          <w:tcPr>
            <w:tcW w:w="1500" w:type="dxa"/>
            <w:tcBorders/>
            <w:vAlign w:val="center"/>
          </w:tcPr>
          <w:p>
            <w:pPr>
              <w:jc w:val="right"/>
            </w:pPr>
            <w:r>
              <w:rPr>
                <w:rFonts w:ascii="宋体" w:eastAsia="宋体" w:hAnsi="宋体" w:cs="宋体"/>
                <w:b w:val="0"/>
                <w:i w:val="0"/>
                <w:color w:val="000000"/>
                <w:sz w:val="17"/>
              </w:rPr>
              <w:t xml:space="preserve">0.00</w:t>
            </w:r>
          </w:p>
        </w:tc>
        <w:tc>
          <w:tcPr>
            <w:tcW w:w="1500" w:type="dxa"/>
            <w:tcBorders/>
            <w:vAlign w:val="center"/>
          </w:tcPr>
          <w:p>
            <w:pPr>
              <w:jc w:val="right"/>
            </w:pPr>
            <w:r>
              <w:rPr>
                <w:rFonts w:ascii="宋体" w:eastAsia="宋体" w:hAnsi="宋体" w:cs="宋体"/>
                <w:b w:val="0"/>
                <w:i w:val="0"/>
                <w:color w:val="000000"/>
                <w:sz w:val="17"/>
              </w:rPr>
              <w:t xml:space="preserve">0.00</w:t>
            </w:r>
          </w:p>
        </w:tc>
        <w:tc>
          <w:tcPr>
            <w:tcW w:w="1500" w:type="dxa"/>
            <w:tcBorders/>
            <w:vAlign w:val="center"/>
          </w:tcPr>
          <w:p>
            <w:pPr>
              <w:jc w:val="right"/>
            </w:pPr>
            <w:r>
              <w:rPr>
                <w:rFonts w:ascii="宋体" w:eastAsia="宋体" w:hAnsi="宋体" w:cs="宋体"/>
                <w:b w:val="0"/>
                <w:i w:val="0"/>
                <w:color w:val="000000"/>
                <w:sz w:val="17"/>
              </w:rPr>
              <w:t xml:space="preserve">0.00</w:t>
            </w:r>
          </w:p>
        </w:tc>
        <w:tc>
          <w:tcPr>
            <w:tcW w:w="1478" w:type="dxa"/>
            <w:tcBorders/>
            <w:vAlign w:val="center"/>
          </w:tcPr>
          <w:p>
            <w:pPr>
              <w:jc w:val="right"/>
            </w:pPr>
            <w:r>
              <w:rPr>
                <w:rFonts w:ascii="宋体" w:eastAsia="宋体" w:hAnsi="宋体" w:cs="宋体"/>
                <w:b w:val="0"/>
                <w:i w:val="0"/>
                <w:color w:val="000000"/>
                <w:sz w:val="17"/>
              </w:rPr>
              <w:t xml:space="preserve">33.08</w:t>
            </w:r>
          </w:p>
        </w:tc>
      </w:tr>
      <w:tr>
        <w:trPr>
          <w:trHeight w:hRule="exact" w:val="375"/>
          <w:jc w:val="center"/>
        </w:trPr>
        <w:tc>
          <w:tcPr>
            <w:tcW w:w="1395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注：本表反映本年度取得各项收入情况。</w:t>
            </w:r>
          </w:p>
        </w:tc>
      </w:tr>
    </w:tbl>
    <w:p>
      <w:pPr>
        <w:snapToGrid w:val="0"/>
        <w:spacing w:before="0" w:after="0" w:line="0"/>
        <w:sectPr>
          <w:pgSz w:w="16838" w:h="11906" w:orient="landscape"/>
          <w:pgMar w:top="1134" w:right="1440" w:bottom="1134" w:left="1440" w:header="720" w:footer="720" w:gutter="0"/>
          <w:pgBorders/>
          <w:pgNumType w:fmt="decimal"/>
          <w:cols w:num="1" w:space="425">
            <w:col w:w="13958" w:space="425"/>
          </w:cols>
          <w:docGrid w:type="lines" w:linePitch="312" w:charSpace="0"/>
        </w:sectPr>
      </w:pPr>
      <w:r>
        <w:rPr>
          <w:sz w:val="8"/>
        </w:rPr>
        <w:t xml:space="preserve"> </w:t>
      </w:r>
    </w:p>
    <w:p>
      <w:pPr>
        <w:pStyle w:val="Heading2"/>
        <w:bidi w:val="0"/>
        <w:jc w:val="center"/>
        <w:outlineLvl w:val="1"/>
        <w:rPr>
          <w:rFonts w:ascii="楷体" w:eastAsia="楷体" w:hAnsi="楷体" w:cs="楷体" w:hint="eastAsia"/>
          <w:b w:val="0"/>
          <w:bCs/>
          <w:lang w:val="en-US" w:eastAsia="zh-CN"/>
        </w:rPr>
      </w:pPr>
      <w:bookmarkStart w:id="12" w:name="_Toc26224"/>
      <w:bookmarkStart w:id="13" w:name="_Toc_1_2_0000000038"/>
      <w:r>
        <w:rPr>
          <w:rFonts w:ascii="楷体" w:eastAsia="楷体" w:hAnsi="楷体" w:cs="楷体" w:hint="eastAsia"/>
          <w:b w:val="0"/>
          <w:bCs/>
          <w:lang w:val="en-US" w:eastAsia="zh-CN"/>
        </w:rPr>
        <w:t xml:space="preserve">2023年度收入决算表（分科目）</w:t>
      </w:r>
      <w:bookmarkEnd w:id="12"/>
      <w:bookmarkEnd w:id="1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公开03表</w:t>
            </w:r>
          </w:p>
        </w:tc>
      </w:tr>
      <w:tr>
        <w:trPr>
          <w:trHeight w:hRule="auto" w:val="0"/>
          <w:jc w:val="center"/>
        </w:trPr>
        <w:tc>
          <w:tcPr>
            <w:tcW w:w="5979" w:type="dxa"/>
            <w:tcBorders/>
          </w:tcPr>
          <w:p>
            <w:pPr>
              <w:jc w:val="left"/>
            </w:pPr>
            <w:r>
              <w:rPr>
                <w:rFonts w:ascii="宋体" w:eastAsia="宋体" w:hAnsi="宋体" w:cs="宋体"/>
                <w:sz w:val="20"/>
              </w:rPr>
              <w:t xml:space="preserve">单位：衢州市财政国库支付中心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2960"/>
        <w:gridCol w:w="1440"/>
        <w:gridCol w:w="1440"/>
        <w:gridCol w:w="1440"/>
        <w:gridCol w:w="1440"/>
        <w:gridCol w:w="1440"/>
        <w:gridCol w:w="1440"/>
        <w:gridCol w:w="1398"/>
      </w:tblGrid>
      <w:tr>
        <w:trPr>
          <w:trHeight w:hRule="exact" w:val="574"/>
          <w:jc w:val="center"/>
        </w:trPr>
        <w:tc>
          <w:tcPr>
            <w:tcW w:w="3920" w:type="dxa"/>
            <w:gridSpan w:val="4"/>
            <w:vAlign w:val="center"/>
          </w:tcPr>
          <w:p>
            <w:pPr>
              <w:jc w:val="center"/>
            </w:pPr>
            <w:r>
              <w:rPr>
                <w:rFonts w:ascii="宋体" w:eastAsia="宋体" w:hAnsi="宋体" w:cs="宋体"/>
                <w:b w:val="0"/>
                <w:i w:val="0"/>
                <w:color w:val="000000"/>
                <w:sz w:val="17"/>
              </w:rPr>
              <w:t xml:space="preserve">项   目</w:t>
            </w: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960" w:type="dxa"/>
            <w:gridSpan w:val="3"/>
            <w:vMerge w:val="restart"/>
            <w:tcBorders/>
            <w:vAlign w:val="center"/>
          </w:tcPr>
          <w:p>
            <w:pPr>
              <w:jc w:val="center"/>
            </w:pPr>
            <w:r>
              <w:rPr>
                <w:rFonts w:ascii="宋体" w:eastAsia="宋体" w:hAnsi="宋体" w:cs="宋体"/>
                <w:b w:val="0"/>
                <w:i w:val="0"/>
                <w:color w:val="000000"/>
                <w:sz w:val="17"/>
              </w:rPr>
              <w:t xml:space="preserve">支出功能分类科目编码</w:t>
            </w:r>
          </w:p>
        </w:tc>
        <w:tc>
          <w:tcPr>
            <w:tcW w:w="296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960" w:type="dxa"/>
            <w:gridSpan w:val="3"/>
            <w:vMerge/>
            <w:tcBorders/>
            <w:vAlign w:val="center"/>
          </w:tcPr>
          <w:p>
            <w:pPr/>
          </w:p>
        </w:tc>
        <w:tc>
          <w:tcPr>
            <w:tcW w:w="296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574"/>
          <w:jc w:val="center"/>
        </w:trPr>
        <w:tc>
          <w:tcPr>
            <w:tcW w:w="960" w:type="dxa"/>
            <w:gridSpan w:val="3"/>
            <w:vMerge/>
            <w:tcBorders/>
            <w:vAlign w:val="center"/>
          </w:tcPr>
          <w:p>
            <w:pPr/>
          </w:p>
        </w:tc>
        <w:tc>
          <w:tcPr>
            <w:tcW w:w="296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320" w:type="dxa"/>
            <w:vMerge w:val="restart"/>
            <w:tcBorders/>
            <w:vAlign w:val="center"/>
          </w:tcPr>
          <w:p>
            <w:pPr>
              <w:jc w:val="center"/>
            </w:pPr>
            <w:r>
              <w:rPr>
                <w:rFonts w:ascii="宋体" w:eastAsia="宋体" w:hAnsi="宋体" w:cs="宋体"/>
                <w:b w:val="0"/>
                <w:i w:val="0"/>
                <w:color w:val="000000"/>
                <w:sz w:val="17"/>
              </w:rPr>
              <w:t xml:space="preserve">类</w:t>
            </w:r>
          </w:p>
        </w:tc>
        <w:tc>
          <w:tcPr>
            <w:tcW w:w="320" w:type="dxa"/>
            <w:vMerge w:val="restart"/>
            <w:tcBorders/>
            <w:vAlign w:val="center"/>
          </w:tcPr>
          <w:p>
            <w:pPr>
              <w:jc w:val="center"/>
            </w:pPr>
            <w:r>
              <w:rPr>
                <w:rFonts w:ascii="宋体" w:eastAsia="宋体" w:hAnsi="宋体" w:cs="宋体"/>
                <w:b w:val="0"/>
                <w:i w:val="0"/>
                <w:color w:val="000000"/>
                <w:sz w:val="17"/>
              </w:rPr>
              <w:t xml:space="preserve">款</w:t>
            </w:r>
          </w:p>
        </w:tc>
        <w:tc>
          <w:tcPr>
            <w:tcW w:w="320" w:type="dxa"/>
            <w:vMerge w:val="restart"/>
            <w:tcBorders/>
            <w:vAlign w:val="center"/>
          </w:tcPr>
          <w:p>
            <w:pPr>
              <w:jc w:val="center"/>
            </w:pPr>
            <w:r>
              <w:rPr>
                <w:rFonts w:ascii="宋体" w:eastAsia="宋体" w:hAnsi="宋体" w:cs="宋体"/>
                <w:b w:val="0"/>
                <w:i w:val="0"/>
                <w:color w:val="000000"/>
                <w:sz w:val="17"/>
              </w:rPr>
              <w:t xml:space="preserve">项</w:t>
            </w:r>
          </w:p>
        </w:tc>
        <w:tc>
          <w:tcPr>
            <w:tcW w:w="2960" w:type="dxa"/>
            <w:tcBorders/>
            <w:vAlign w:val="center"/>
          </w:tcPr>
          <w:p>
            <w:pPr>
              <w:jc w:val="center"/>
            </w:pPr>
            <w:r>
              <w:rPr>
                <w:rFonts w:ascii="宋体" w:eastAsia="宋体" w:hAnsi="宋体" w:cs="宋体"/>
                <w:b w:val="0"/>
                <w:i w:val="0"/>
                <w:color w:val="000000"/>
                <w:sz w:val="17"/>
              </w:rPr>
              <w:t xml:space="preserve">栏次</w:t>
            </w: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320" w:type="dxa"/>
            <w:vMerge/>
            <w:tcBorders/>
            <w:vAlign w:val="center"/>
          </w:tcPr>
          <w:p>
            <w:pPr/>
          </w:p>
        </w:tc>
        <w:tc>
          <w:tcPr>
            <w:tcW w:w="320" w:type="dxa"/>
            <w:vMerge/>
            <w:tcBorders/>
            <w:vAlign w:val="center"/>
          </w:tcPr>
          <w:p>
            <w:pPr/>
          </w:p>
        </w:tc>
        <w:tc>
          <w:tcPr>
            <w:tcW w:w="320" w:type="dxa"/>
            <w:vMerge/>
            <w:tcBorders/>
            <w:vAlign w:val="center"/>
          </w:tcPr>
          <w:p>
            <w:pPr/>
          </w:p>
        </w:tc>
        <w:tc>
          <w:tcPr>
            <w:tcW w:w="2960" w:type="dxa"/>
            <w:tcBorders/>
            <w:vAlign w:val="center"/>
          </w:tcPr>
          <w:p>
            <w:pPr>
              <w:jc w:val="center"/>
            </w:pPr>
            <w:r>
              <w:rPr>
                <w:rFonts w:ascii="宋体" w:eastAsia="宋体" w:hAnsi="宋体" w:cs="宋体"/>
                <w:b w:val="0"/>
                <w:i w:val="0"/>
                <w:color w:val="000000"/>
                <w:sz w:val="17"/>
              </w:rPr>
              <w:t xml:space="preserve">合计</w:t>
            </w:r>
          </w:p>
        </w:tc>
        <w:tc>
          <w:tcPr>
            <w:tcW w:w="1440" w:type="dxa"/>
            <w:tcBorders/>
            <w:vAlign w:val="center"/>
          </w:tcPr>
          <w:p>
            <w:pPr>
              <w:jc w:val="right"/>
            </w:pPr>
            <w:r>
              <w:rPr>
                <w:rFonts w:ascii="宋体" w:eastAsia="宋体" w:hAnsi="宋体" w:cs="宋体"/>
                <w:b w:val="0"/>
                <w:i w:val="0"/>
                <w:color w:val="000000"/>
                <w:sz w:val="17"/>
              </w:rPr>
              <w:t xml:space="preserve">1,199.42</w:t>
            </w:r>
          </w:p>
        </w:tc>
        <w:tc>
          <w:tcPr>
            <w:tcW w:w="1440" w:type="dxa"/>
            <w:tcBorders/>
            <w:vAlign w:val="center"/>
          </w:tcPr>
          <w:p>
            <w:pPr>
              <w:jc w:val="right"/>
            </w:pPr>
            <w:r>
              <w:rPr>
                <w:rFonts w:ascii="宋体" w:eastAsia="宋体" w:hAnsi="宋体" w:cs="宋体"/>
                <w:b w:val="0"/>
                <w:i w:val="0"/>
                <w:color w:val="000000"/>
                <w:sz w:val="17"/>
              </w:rPr>
              <w:t xml:space="preserve">1,166.34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33.08</w:t>
            </w:r>
          </w:p>
        </w:tc>
      </w:tr>
      <w:tr>
        <w:trPr>
          <w:trHeight w:hRule="exact" w:val="556"/>
          <w:jc w:val="center"/>
        </w:trPr>
        <w:tc>
          <w:tcPr>
            <w:tcW w:w="960" w:type="dxa"/>
            <w:gridSpan w:val="3"/>
            <w:tcBorders/>
            <w:vAlign w:val="center"/>
          </w:tcPr>
          <w:p>
            <w:pPr>
              <w:jc w:val="left"/>
            </w:pPr>
            <w:r>
              <w:rPr>
                <w:rFonts w:ascii="宋体" w:eastAsia="宋体" w:hAnsi="宋体" w:cs="宋体"/>
                <w:b w:val="0"/>
                <w:i w:val="0"/>
                <w:color w:val="000000"/>
                <w:sz w:val="17"/>
              </w:rPr>
              <w:t xml:space="preserve">201</w:t>
            </w:r>
          </w:p>
        </w:tc>
        <w:tc>
          <w:tcPr>
            <w:tcW w:w="296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950.94</w:t>
            </w:r>
          </w:p>
        </w:tc>
        <w:tc>
          <w:tcPr>
            <w:tcW w:w="1440" w:type="dxa"/>
            <w:tcBorders/>
            <w:vAlign w:val="center"/>
          </w:tcPr>
          <w:p>
            <w:pPr>
              <w:jc w:val="right"/>
            </w:pPr>
            <w:r>
              <w:rPr>
                <w:rFonts w:ascii="宋体" w:eastAsia="宋体" w:hAnsi="宋体" w:cs="宋体"/>
                <w:b w:val="0"/>
                <w:i w:val="0"/>
                <w:color w:val="000000"/>
                <w:sz w:val="17"/>
              </w:rPr>
              <w:t xml:space="preserve">917.86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33.08</w:t>
            </w:r>
          </w:p>
        </w:tc>
      </w:tr>
      <w:tr>
        <w:trPr>
          <w:trHeight w:hRule="exact" w:val="556"/>
          <w:jc w:val="center"/>
        </w:trPr>
        <w:tc>
          <w:tcPr>
            <w:tcW w:w="960" w:type="dxa"/>
            <w:gridSpan w:val="3"/>
            <w:tcBorders/>
            <w:vAlign w:val="center"/>
          </w:tcPr>
          <w:p>
            <w:pPr>
              <w:jc w:val="left"/>
            </w:pPr>
            <w:r>
              <w:rPr>
                <w:rFonts w:ascii="宋体" w:eastAsia="宋体" w:hAnsi="宋体" w:cs="宋体"/>
                <w:b w:val="0"/>
                <w:i w:val="0"/>
                <w:color w:val="000000"/>
                <w:sz w:val="17"/>
              </w:rPr>
              <w:t xml:space="preserve">20106</w:t>
            </w:r>
          </w:p>
        </w:tc>
        <w:tc>
          <w:tcPr>
            <w:tcW w:w="2960" w:type="dxa"/>
            <w:tcBorders/>
            <w:vAlign w:val="center"/>
          </w:tcPr>
          <w:p>
            <w:pPr>
              <w:jc w:val="left"/>
            </w:pPr>
            <w:r>
              <w:rPr>
                <w:rFonts w:ascii="宋体" w:eastAsia="宋体" w:hAnsi="宋体" w:cs="宋体"/>
                <w:b w:val="0"/>
                <w:i w:val="0"/>
                <w:color w:val="000000"/>
                <w:sz w:val="17"/>
              </w:rPr>
              <w:t xml:space="preserve">财政事务</w:t>
            </w:r>
          </w:p>
        </w:tc>
        <w:tc>
          <w:tcPr>
            <w:tcW w:w="1440" w:type="dxa"/>
            <w:tcBorders/>
            <w:vAlign w:val="center"/>
          </w:tcPr>
          <w:p>
            <w:pPr>
              <w:jc w:val="right"/>
            </w:pPr>
            <w:r>
              <w:rPr>
                <w:rFonts w:ascii="宋体" w:eastAsia="宋体" w:hAnsi="宋体" w:cs="宋体"/>
                <w:b w:val="0"/>
                <w:i w:val="0"/>
                <w:color w:val="000000"/>
                <w:sz w:val="17"/>
              </w:rPr>
              <w:t xml:space="preserve">950.94</w:t>
            </w:r>
          </w:p>
        </w:tc>
        <w:tc>
          <w:tcPr>
            <w:tcW w:w="1440" w:type="dxa"/>
            <w:tcBorders/>
            <w:vAlign w:val="center"/>
          </w:tcPr>
          <w:p>
            <w:pPr>
              <w:jc w:val="right"/>
            </w:pPr>
            <w:r>
              <w:rPr>
                <w:rFonts w:ascii="宋体" w:eastAsia="宋体" w:hAnsi="宋体" w:cs="宋体"/>
                <w:b w:val="0"/>
                <w:i w:val="0"/>
                <w:color w:val="000000"/>
                <w:sz w:val="17"/>
              </w:rPr>
              <w:t xml:space="preserve">917.86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33.08</w:t>
            </w:r>
          </w:p>
        </w:tc>
      </w:tr>
      <w:tr>
        <w:trPr>
          <w:trHeight w:hRule="exact" w:val="556"/>
          <w:jc w:val="center"/>
        </w:trPr>
        <w:tc>
          <w:tcPr>
            <w:tcW w:w="960" w:type="dxa"/>
            <w:gridSpan w:val="3"/>
            <w:tcBorders/>
            <w:vAlign w:val="center"/>
          </w:tcPr>
          <w:p>
            <w:pPr>
              <w:jc w:val="left"/>
            </w:pPr>
            <w:r>
              <w:rPr>
                <w:rFonts w:ascii="宋体" w:eastAsia="宋体" w:hAnsi="宋体" w:cs="宋体"/>
                <w:b w:val="0"/>
                <w:i w:val="0"/>
                <w:color w:val="000000"/>
                <w:sz w:val="17"/>
              </w:rPr>
              <w:t xml:space="preserve">2010601</w:t>
            </w:r>
          </w:p>
        </w:tc>
        <w:tc>
          <w:tcPr>
            <w:tcW w:w="296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917.86</w:t>
            </w:r>
          </w:p>
        </w:tc>
        <w:tc>
          <w:tcPr>
            <w:tcW w:w="1440" w:type="dxa"/>
            <w:tcBorders/>
            <w:vAlign w:val="center"/>
          </w:tcPr>
          <w:p>
            <w:pPr>
              <w:jc w:val="right"/>
            </w:pPr>
            <w:r>
              <w:rPr>
                <w:rFonts w:ascii="宋体" w:eastAsia="宋体" w:hAnsi="宋体" w:cs="宋体"/>
                <w:b w:val="0"/>
                <w:i w:val="0"/>
                <w:color w:val="000000"/>
                <w:sz w:val="17"/>
              </w:rPr>
              <w:t xml:space="preserve">917.86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556"/>
          <w:jc w:val="center"/>
        </w:trPr>
        <w:tc>
          <w:tcPr>
            <w:tcW w:w="960" w:type="dxa"/>
            <w:gridSpan w:val="3"/>
            <w:tcBorders/>
            <w:vAlign w:val="center"/>
          </w:tcPr>
          <w:p>
            <w:pPr>
              <w:jc w:val="left"/>
            </w:pPr>
            <w:r>
              <w:rPr>
                <w:rFonts w:ascii="宋体" w:eastAsia="宋体" w:hAnsi="宋体" w:cs="宋体"/>
                <w:b w:val="0"/>
                <w:i w:val="0"/>
                <w:color w:val="000000"/>
                <w:sz w:val="17"/>
              </w:rPr>
              <w:t xml:space="preserve">2010605</w:t>
            </w:r>
          </w:p>
        </w:tc>
        <w:tc>
          <w:tcPr>
            <w:tcW w:w="2960" w:type="dxa"/>
            <w:tcBorders/>
            <w:vAlign w:val="center"/>
          </w:tcPr>
          <w:p>
            <w:pPr>
              <w:jc w:val="left"/>
            </w:pPr>
            <w:r>
              <w:rPr>
                <w:rFonts w:ascii="宋体" w:eastAsia="宋体" w:hAnsi="宋体" w:cs="宋体"/>
                <w:b w:val="0"/>
                <w:i w:val="0"/>
                <w:color w:val="000000"/>
                <w:sz w:val="17"/>
              </w:rPr>
              <w:t xml:space="preserve">财政国库业务</w:t>
            </w:r>
          </w:p>
        </w:tc>
        <w:tc>
          <w:tcPr>
            <w:tcW w:w="1440" w:type="dxa"/>
            <w:tcBorders/>
            <w:vAlign w:val="center"/>
          </w:tcPr>
          <w:p>
            <w:pPr>
              <w:jc w:val="right"/>
            </w:pPr>
            <w:r>
              <w:rPr>
                <w:rFonts w:ascii="宋体" w:eastAsia="宋体" w:hAnsi="宋体" w:cs="宋体"/>
                <w:b w:val="0"/>
                <w:i w:val="0"/>
                <w:color w:val="000000"/>
                <w:sz w:val="17"/>
              </w:rPr>
              <w:t xml:space="preserve">33.08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33.08</w:t>
            </w:r>
          </w:p>
        </w:tc>
      </w:tr>
      <w:tr>
        <w:trPr>
          <w:trHeight w:hRule="exact" w:val="556"/>
          <w:jc w:val="center"/>
        </w:trPr>
        <w:tc>
          <w:tcPr>
            <w:tcW w:w="960" w:type="dxa"/>
            <w:gridSpan w:val="3"/>
            <w:tcBorders/>
            <w:vAlign w:val="center"/>
          </w:tcPr>
          <w:p>
            <w:pPr>
              <w:jc w:val="left"/>
            </w:pPr>
            <w:r>
              <w:rPr>
                <w:rFonts w:ascii="宋体" w:eastAsia="宋体" w:hAnsi="宋体" w:cs="宋体"/>
                <w:b w:val="0"/>
                <w:i w:val="0"/>
                <w:color w:val="000000"/>
                <w:sz w:val="17"/>
              </w:rPr>
              <w:t xml:space="preserve">208</w:t>
            </w:r>
          </w:p>
        </w:tc>
        <w:tc>
          <w:tcPr>
            <w:tcW w:w="296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129.83</w:t>
            </w:r>
          </w:p>
        </w:tc>
        <w:tc>
          <w:tcPr>
            <w:tcW w:w="1440" w:type="dxa"/>
            <w:tcBorders/>
            <w:vAlign w:val="center"/>
          </w:tcPr>
          <w:p>
            <w:pPr>
              <w:jc w:val="right"/>
            </w:pPr>
            <w:r>
              <w:rPr>
                <w:rFonts w:ascii="宋体" w:eastAsia="宋体" w:hAnsi="宋体" w:cs="宋体"/>
                <w:b w:val="0"/>
                <w:i w:val="0"/>
                <w:color w:val="000000"/>
                <w:sz w:val="17"/>
              </w:rPr>
              <w:t xml:space="preserve">129.83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556"/>
          <w:jc w:val="center"/>
        </w:trPr>
        <w:tc>
          <w:tcPr>
            <w:tcW w:w="960" w:type="dxa"/>
            <w:gridSpan w:val="3"/>
            <w:tcBorders/>
            <w:vAlign w:val="center"/>
          </w:tcPr>
          <w:p>
            <w:pPr>
              <w:jc w:val="left"/>
            </w:pPr>
            <w:r>
              <w:rPr>
                <w:rFonts w:ascii="宋体" w:eastAsia="宋体" w:hAnsi="宋体" w:cs="宋体"/>
                <w:b w:val="0"/>
                <w:i w:val="0"/>
                <w:color w:val="000000"/>
                <w:sz w:val="17"/>
              </w:rPr>
              <w:t xml:space="preserve">20805</w:t>
            </w:r>
          </w:p>
        </w:tc>
        <w:tc>
          <w:tcPr>
            <w:tcW w:w="296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129.83</w:t>
            </w:r>
          </w:p>
        </w:tc>
        <w:tc>
          <w:tcPr>
            <w:tcW w:w="1440" w:type="dxa"/>
            <w:tcBorders/>
            <w:vAlign w:val="center"/>
          </w:tcPr>
          <w:p>
            <w:pPr>
              <w:jc w:val="right"/>
            </w:pPr>
            <w:r>
              <w:rPr>
                <w:rFonts w:ascii="宋体" w:eastAsia="宋体" w:hAnsi="宋体" w:cs="宋体"/>
                <w:b w:val="0"/>
                <w:i w:val="0"/>
                <w:color w:val="000000"/>
                <w:sz w:val="17"/>
              </w:rPr>
              <w:t xml:space="preserve">129.83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556"/>
          <w:jc w:val="center"/>
        </w:trPr>
        <w:tc>
          <w:tcPr>
            <w:tcW w:w="960" w:type="dxa"/>
            <w:gridSpan w:val="3"/>
            <w:tcBorders/>
            <w:vAlign w:val="center"/>
          </w:tcPr>
          <w:p>
            <w:pPr>
              <w:jc w:val="left"/>
            </w:pPr>
            <w:r>
              <w:rPr>
                <w:rFonts w:ascii="宋体" w:eastAsia="宋体" w:hAnsi="宋体" w:cs="宋体"/>
                <w:b w:val="0"/>
                <w:i w:val="0"/>
                <w:color w:val="000000"/>
                <w:sz w:val="17"/>
              </w:rPr>
              <w:t xml:space="preserve">2080505</w:t>
            </w:r>
          </w:p>
        </w:tc>
        <w:tc>
          <w:tcPr>
            <w:tcW w:w="296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74.54</w:t>
            </w:r>
          </w:p>
        </w:tc>
        <w:tc>
          <w:tcPr>
            <w:tcW w:w="1440" w:type="dxa"/>
            <w:tcBorders/>
            <w:vAlign w:val="center"/>
          </w:tcPr>
          <w:p>
            <w:pPr>
              <w:jc w:val="right"/>
            </w:pPr>
            <w:r>
              <w:rPr>
                <w:rFonts w:ascii="宋体" w:eastAsia="宋体" w:hAnsi="宋体" w:cs="宋体"/>
                <w:b w:val="0"/>
                <w:i w:val="0"/>
                <w:color w:val="000000"/>
                <w:sz w:val="17"/>
              </w:rPr>
              <w:t xml:space="preserve">74.54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556"/>
          <w:jc w:val="center"/>
        </w:trPr>
        <w:tc>
          <w:tcPr>
            <w:tcW w:w="960" w:type="dxa"/>
            <w:gridSpan w:val="3"/>
            <w:tcBorders/>
            <w:vAlign w:val="center"/>
          </w:tcPr>
          <w:p>
            <w:pPr>
              <w:jc w:val="left"/>
            </w:pPr>
            <w:r>
              <w:rPr>
                <w:rFonts w:ascii="宋体" w:eastAsia="宋体" w:hAnsi="宋体" w:cs="宋体"/>
                <w:b w:val="0"/>
                <w:i w:val="0"/>
                <w:color w:val="000000"/>
                <w:sz w:val="17"/>
              </w:rPr>
              <w:t xml:space="preserve">2080506</w:t>
            </w:r>
          </w:p>
        </w:tc>
        <w:tc>
          <w:tcPr>
            <w:tcW w:w="2960" w:type="dxa"/>
            <w:tcBorders/>
            <w:vAlign w:val="center"/>
          </w:tcPr>
          <w:p>
            <w:pPr>
              <w:jc w:val="left"/>
            </w:pPr>
            <w:r>
              <w:rPr>
                <w:rFonts w:ascii="宋体" w:eastAsia="宋体" w:hAnsi="宋体" w:cs="宋体"/>
                <w:b w:val="0"/>
                <w:i w:val="0"/>
                <w:color w:val="000000"/>
                <w:sz w:val="17"/>
              </w:rPr>
              <w:t xml:space="preserve">机关事业单位职业年金缴费支出</w:t>
            </w:r>
          </w:p>
        </w:tc>
        <w:tc>
          <w:tcPr>
            <w:tcW w:w="1440" w:type="dxa"/>
            <w:tcBorders/>
            <w:vAlign w:val="center"/>
          </w:tcPr>
          <w:p>
            <w:pPr>
              <w:jc w:val="right"/>
            </w:pPr>
            <w:r>
              <w:rPr>
                <w:rFonts w:ascii="宋体" w:eastAsia="宋体" w:hAnsi="宋体" w:cs="宋体"/>
                <w:b w:val="0"/>
                <w:i w:val="0"/>
                <w:color w:val="000000"/>
                <w:sz w:val="17"/>
              </w:rPr>
              <w:t xml:space="preserve">37.27</w:t>
            </w:r>
          </w:p>
        </w:tc>
        <w:tc>
          <w:tcPr>
            <w:tcW w:w="1440" w:type="dxa"/>
            <w:tcBorders/>
            <w:vAlign w:val="center"/>
          </w:tcPr>
          <w:p>
            <w:pPr>
              <w:jc w:val="right"/>
            </w:pPr>
            <w:r>
              <w:rPr>
                <w:rFonts w:ascii="宋体" w:eastAsia="宋体" w:hAnsi="宋体" w:cs="宋体"/>
                <w:b w:val="0"/>
                <w:i w:val="0"/>
                <w:color w:val="000000"/>
                <w:sz w:val="17"/>
              </w:rPr>
              <w:t xml:space="preserve">37.27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556"/>
          <w:jc w:val="center"/>
        </w:trPr>
        <w:tc>
          <w:tcPr>
            <w:tcW w:w="960" w:type="dxa"/>
            <w:gridSpan w:val="3"/>
            <w:tcBorders/>
            <w:vAlign w:val="center"/>
          </w:tcPr>
          <w:p>
            <w:pPr>
              <w:jc w:val="left"/>
            </w:pPr>
            <w:r>
              <w:rPr>
                <w:rFonts w:ascii="宋体" w:eastAsia="宋体" w:hAnsi="宋体" w:cs="宋体"/>
                <w:b w:val="0"/>
                <w:i w:val="0"/>
                <w:color w:val="000000"/>
                <w:sz w:val="17"/>
              </w:rPr>
              <w:t xml:space="preserve">2080599</w:t>
            </w:r>
          </w:p>
        </w:tc>
        <w:tc>
          <w:tcPr>
            <w:tcW w:w="2960" w:type="dxa"/>
            <w:tcBorders/>
            <w:vAlign w:val="center"/>
          </w:tcPr>
          <w:p>
            <w:pPr>
              <w:jc w:val="left"/>
            </w:pPr>
            <w:r>
              <w:rPr>
                <w:rFonts w:ascii="宋体" w:eastAsia="宋体" w:hAnsi="宋体" w:cs="宋体"/>
                <w:b w:val="0"/>
                <w:i w:val="0"/>
                <w:color w:val="000000"/>
                <w:sz w:val="17"/>
              </w:rPr>
              <w:t xml:space="preserve">其他行政事业单位养老支出</w:t>
            </w:r>
          </w:p>
        </w:tc>
        <w:tc>
          <w:tcPr>
            <w:tcW w:w="1440" w:type="dxa"/>
            <w:tcBorders/>
            <w:vAlign w:val="center"/>
          </w:tcPr>
          <w:p>
            <w:pPr>
              <w:jc w:val="right"/>
            </w:pPr>
            <w:r>
              <w:rPr>
                <w:rFonts w:ascii="宋体" w:eastAsia="宋体" w:hAnsi="宋体" w:cs="宋体"/>
                <w:b w:val="0"/>
                <w:i w:val="0"/>
                <w:color w:val="000000"/>
                <w:sz w:val="17"/>
              </w:rPr>
              <w:t xml:space="preserve">18.02</w:t>
            </w:r>
          </w:p>
        </w:tc>
        <w:tc>
          <w:tcPr>
            <w:tcW w:w="1440" w:type="dxa"/>
            <w:tcBorders/>
            <w:vAlign w:val="center"/>
          </w:tcPr>
          <w:p>
            <w:pPr>
              <w:jc w:val="right"/>
            </w:pPr>
            <w:r>
              <w:rPr>
                <w:rFonts w:ascii="宋体" w:eastAsia="宋体" w:hAnsi="宋体" w:cs="宋体"/>
                <w:b w:val="0"/>
                <w:i w:val="0"/>
                <w:color w:val="000000"/>
                <w:sz w:val="17"/>
              </w:rPr>
              <w:t xml:space="preserve">18.02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556"/>
          <w:jc w:val="center"/>
        </w:trPr>
        <w:tc>
          <w:tcPr>
            <w:tcW w:w="960" w:type="dxa"/>
            <w:gridSpan w:val="3"/>
            <w:tcBorders/>
            <w:vAlign w:val="center"/>
          </w:tcPr>
          <w:p>
            <w:pPr>
              <w:jc w:val="left"/>
            </w:pPr>
            <w:r>
              <w:rPr>
                <w:rFonts w:ascii="宋体" w:eastAsia="宋体" w:hAnsi="宋体" w:cs="宋体"/>
                <w:b w:val="0"/>
                <w:i w:val="0"/>
                <w:color w:val="000000"/>
                <w:sz w:val="17"/>
              </w:rPr>
              <w:t xml:space="preserve">210</w:t>
            </w:r>
          </w:p>
        </w:tc>
        <w:tc>
          <w:tcPr>
            <w:tcW w:w="296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19.34</w:t>
            </w:r>
          </w:p>
        </w:tc>
        <w:tc>
          <w:tcPr>
            <w:tcW w:w="1440" w:type="dxa"/>
            <w:tcBorders/>
            <w:vAlign w:val="center"/>
          </w:tcPr>
          <w:p>
            <w:pPr>
              <w:jc w:val="right"/>
            </w:pPr>
            <w:r>
              <w:rPr>
                <w:rFonts w:ascii="宋体" w:eastAsia="宋体" w:hAnsi="宋体" w:cs="宋体"/>
                <w:b w:val="0"/>
                <w:i w:val="0"/>
                <w:color w:val="000000"/>
                <w:sz w:val="17"/>
              </w:rPr>
              <w:t xml:space="preserve">19.34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556"/>
          <w:jc w:val="center"/>
        </w:trPr>
        <w:tc>
          <w:tcPr>
            <w:tcW w:w="960" w:type="dxa"/>
            <w:gridSpan w:val="3"/>
            <w:tcBorders/>
            <w:vAlign w:val="center"/>
          </w:tcPr>
          <w:p>
            <w:pPr>
              <w:jc w:val="left"/>
            </w:pPr>
            <w:r>
              <w:rPr>
                <w:rFonts w:ascii="宋体" w:eastAsia="宋体" w:hAnsi="宋体" w:cs="宋体"/>
                <w:b w:val="0"/>
                <w:i w:val="0"/>
                <w:color w:val="000000"/>
                <w:sz w:val="17"/>
              </w:rPr>
              <w:t xml:space="preserve">21011</w:t>
            </w:r>
          </w:p>
        </w:tc>
        <w:tc>
          <w:tcPr>
            <w:tcW w:w="296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19.34</w:t>
            </w:r>
          </w:p>
        </w:tc>
        <w:tc>
          <w:tcPr>
            <w:tcW w:w="1440" w:type="dxa"/>
            <w:tcBorders/>
            <w:vAlign w:val="center"/>
          </w:tcPr>
          <w:p>
            <w:pPr>
              <w:jc w:val="right"/>
            </w:pPr>
            <w:r>
              <w:rPr>
                <w:rFonts w:ascii="宋体" w:eastAsia="宋体" w:hAnsi="宋体" w:cs="宋体"/>
                <w:b w:val="0"/>
                <w:i w:val="0"/>
                <w:color w:val="000000"/>
                <w:sz w:val="17"/>
              </w:rPr>
              <w:t xml:space="preserve">19.34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556"/>
          <w:jc w:val="center"/>
        </w:trPr>
        <w:tc>
          <w:tcPr>
            <w:tcW w:w="960" w:type="dxa"/>
            <w:gridSpan w:val="3"/>
            <w:tcBorders/>
            <w:vAlign w:val="center"/>
          </w:tcPr>
          <w:p>
            <w:pPr>
              <w:jc w:val="left"/>
            </w:pPr>
            <w:r>
              <w:rPr>
                <w:rFonts w:ascii="宋体" w:eastAsia="宋体" w:hAnsi="宋体" w:cs="宋体"/>
                <w:b w:val="0"/>
                <w:i w:val="0"/>
                <w:color w:val="000000"/>
                <w:sz w:val="17"/>
              </w:rPr>
              <w:t xml:space="preserve">2101199</w:t>
            </w:r>
          </w:p>
        </w:tc>
        <w:tc>
          <w:tcPr>
            <w:tcW w:w="2960" w:type="dxa"/>
            <w:tcBorders/>
            <w:vAlign w:val="center"/>
          </w:tcPr>
          <w:p>
            <w:pPr>
              <w:jc w:val="left"/>
            </w:pPr>
            <w:r>
              <w:rPr>
                <w:rFonts w:ascii="宋体" w:eastAsia="宋体" w:hAnsi="宋体" w:cs="宋体"/>
                <w:b w:val="0"/>
                <w:i w:val="0"/>
                <w:color w:val="000000"/>
                <w:sz w:val="17"/>
              </w:rPr>
              <w:t xml:space="preserve">其他行政事业单位医疗支出</w:t>
            </w:r>
          </w:p>
        </w:tc>
        <w:tc>
          <w:tcPr>
            <w:tcW w:w="1440" w:type="dxa"/>
            <w:tcBorders/>
            <w:vAlign w:val="center"/>
          </w:tcPr>
          <w:p>
            <w:pPr>
              <w:jc w:val="right"/>
            </w:pPr>
            <w:r>
              <w:rPr>
                <w:rFonts w:ascii="宋体" w:eastAsia="宋体" w:hAnsi="宋体" w:cs="宋体"/>
                <w:b w:val="0"/>
                <w:i w:val="0"/>
                <w:color w:val="000000"/>
                <w:sz w:val="17"/>
              </w:rPr>
              <w:t xml:space="preserve">19.34</w:t>
            </w:r>
          </w:p>
        </w:tc>
        <w:tc>
          <w:tcPr>
            <w:tcW w:w="1440" w:type="dxa"/>
            <w:tcBorders/>
            <w:vAlign w:val="center"/>
          </w:tcPr>
          <w:p>
            <w:pPr>
              <w:jc w:val="right"/>
            </w:pPr>
            <w:r>
              <w:rPr>
                <w:rFonts w:ascii="宋体" w:eastAsia="宋体" w:hAnsi="宋体" w:cs="宋体"/>
                <w:b w:val="0"/>
                <w:i w:val="0"/>
                <w:color w:val="000000"/>
                <w:sz w:val="17"/>
              </w:rPr>
              <w:t xml:space="preserve">19.34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556"/>
          <w:jc w:val="center"/>
        </w:trPr>
        <w:tc>
          <w:tcPr>
            <w:tcW w:w="960" w:type="dxa"/>
            <w:gridSpan w:val="3"/>
            <w:tcBorders/>
            <w:vAlign w:val="center"/>
          </w:tcPr>
          <w:p>
            <w:pPr>
              <w:jc w:val="left"/>
            </w:pPr>
            <w:r>
              <w:rPr>
                <w:rFonts w:ascii="宋体" w:eastAsia="宋体" w:hAnsi="宋体" w:cs="宋体"/>
                <w:b w:val="0"/>
                <w:i w:val="0"/>
                <w:color w:val="000000"/>
                <w:sz w:val="17"/>
              </w:rPr>
              <w:t xml:space="preserve">221</w:t>
            </w:r>
          </w:p>
        </w:tc>
        <w:tc>
          <w:tcPr>
            <w:tcW w:w="296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99.31</w:t>
            </w:r>
          </w:p>
        </w:tc>
        <w:tc>
          <w:tcPr>
            <w:tcW w:w="1440" w:type="dxa"/>
            <w:tcBorders/>
            <w:vAlign w:val="center"/>
          </w:tcPr>
          <w:p>
            <w:pPr>
              <w:jc w:val="right"/>
            </w:pPr>
            <w:r>
              <w:rPr>
                <w:rFonts w:ascii="宋体" w:eastAsia="宋体" w:hAnsi="宋体" w:cs="宋体"/>
                <w:b w:val="0"/>
                <w:i w:val="0"/>
                <w:color w:val="000000"/>
                <w:sz w:val="17"/>
              </w:rPr>
              <w:t xml:space="preserve">99.31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556"/>
          <w:jc w:val="center"/>
        </w:trPr>
        <w:tc>
          <w:tcPr>
            <w:tcW w:w="960" w:type="dxa"/>
            <w:gridSpan w:val="3"/>
            <w:tcBorders/>
            <w:vAlign w:val="center"/>
          </w:tcPr>
          <w:p>
            <w:pPr>
              <w:jc w:val="left"/>
            </w:pPr>
            <w:r>
              <w:rPr>
                <w:rFonts w:ascii="宋体" w:eastAsia="宋体" w:hAnsi="宋体" w:cs="宋体"/>
                <w:b w:val="0"/>
                <w:i w:val="0"/>
                <w:color w:val="000000"/>
                <w:sz w:val="17"/>
              </w:rPr>
              <w:t xml:space="preserve">22102</w:t>
            </w:r>
          </w:p>
        </w:tc>
        <w:tc>
          <w:tcPr>
            <w:tcW w:w="296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99.31</w:t>
            </w:r>
          </w:p>
        </w:tc>
        <w:tc>
          <w:tcPr>
            <w:tcW w:w="1440" w:type="dxa"/>
            <w:tcBorders/>
            <w:vAlign w:val="center"/>
          </w:tcPr>
          <w:p>
            <w:pPr>
              <w:jc w:val="right"/>
            </w:pPr>
            <w:r>
              <w:rPr>
                <w:rFonts w:ascii="宋体" w:eastAsia="宋体" w:hAnsi="宋体" w:cs="宋体"/>
                <w:b w:val="0"/>
                <w:i w:val="0"/>
                <w:color w:val="000000"/>
                <w:sz w:val="17"/>
              </w:rPr>
              <w:t xml:space="preserve">99.31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556"/>
          <w:jc w:val="center"/>
        </w:trPr>
        <w:tc>
          <w:tcPr>
            <w:tcW w:w="960" w:type="dxa"/>
            <w:gridSpan w:val="3"/>
            <w:tcBorders/>
            <w:vAlign w:val="center"/>
          </w:tcPr>
          <w:p>
            <w:pPr>
              <w:jc w:val="left"/>
            </w:pPr>
            <w:r>
              <w:rPr>
                <w:rFonts w:ascii="宋体" w:eastAsia="宋体" w:hAnsi="宋体" w:cs="宋体"/>
                <w:b w:val="0"/>
                <w:i w:val="0"/>
                <w:color w:val="000000"/>
                <w:sz w:val="17"/>
              </w:rPr>
              <w:t xml:space="preserve">2210201</w:t>
            </w:r>
          </w:p>
        </w:tc>
        <w:tc>
          <w:tcPr>
            <w:tcW w:w="296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99.31</w:t>
            </w:r>
          </w:p>
        </w:tc>
        <w:tc>
          <w:tcPr>
            <w:tcW w:w="1440" w:type="dxa"/>
            <w:tcBorders/>
            <w:vAlign w:val="center"/>
          </w:tcPr>
          <w:p>
            <w:pPr>
              <w:jc w:val="right"/>
            </w:pPr>
            <w:r>
              <w:rPr>
                <w:rFonts w:ascii="宋体" w:eastAsia="宋体" w:hAnsi="宋体" w:cs="宋体"/>
                <w:b w:val="0"/>
                <w:i w:val="0"/>
                <w:color w:val="000000"/>
                <w:sz w:val="17"/>
              </w:rPr>
              <w:t xml:space="preserve">99.31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13958" w:type="dxa"/>
            <w:gridSpan w:val="11"/>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注：本表反映本年度取得各项收入情况。</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highlight w:val="none"/>
          <w:lang w:val="en-US" w:eastAsia="zh-CN"/>
        </w:rPr>
        <w:sectPr>
          <w:pgSz w:w="16838" w:h="11906" w:orient="landscape"/>
          <w:pgMar w:top="1134" w:right="1440" w:bottom="1134" w:left="1440" w:header="720" w:footer="720" w:gutter="0"/>
          <w:pgBorders/>
          <w:pgNumType w:fmt="decimal"/>
          <w:cols w:num="1" w:space="425">
            <w:col w:w="13958" w:space="425"/>
          </w:cols>
          <w:docGrid w:type="lines" w:linePitch="312" w:charSpace="0"/>
        </w:sectPr>
      </w:pPr>
    </w:p>
    <w:p>
      <w:pPr>
        <w:pStyle w:val="Heading2"/>
        <w:bidi w:val="0"/>
        <w:jc w:val="center"/>
        <w:rPr>
          <w:rFonts w:ascii="楷体" w:eastAsia="楷体" w:hAnsi="楷体" w:cs="楷体" w:hint="eastAsia"/>
          <w:b w:val="0"/>
          <w:bCs/>
          <w:lang w:val="en-US" w:eastAsia="zh-CN"/>
        </w:rPr>
      </w:pPr>
      <w:bookmarkStart w:id="14" w:name="_Toc13265"/>
      <w:bookmarkStart w:id="15" w:name="_Toc_1_2_0000000039"/>
      <w:r>
        <w:rPr>
          <w:rFonts w:ascii="楷体" w:eastAsia="楷体" w:hAnsi="楷体" w:cs="楷体" w:hint="eastAsia"/>
          <w:b w:val="0"/>
          <w:bCs/>
          <w:lang w:val="en-US" w:eastAsia="zh-CN"/>
        </w:rPr>
        <w:t xml:space="preserve">2023年度支出决算表（分单位）</w:t>
      </w:r>
      <w:bookmarkEnd w:id="14"/>
      <w:bookmarkEnd w:id="1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公开04表</w:t>
            </w:r>
          </w:p>
        </w:tc>
      </w:tr>
      <w:tr>
        <w:trPr>
          <w:trHeight w:hRule="auto" w:val="0"/>
          <w:jc w:val="center"/>
        </w:trPr>
        <w:tc>
          <w:tcPr>
            <w:tcW w:w="5979" w:type="dxa"/>
            <w:tcBorders/>
          </w:tcPr>
          <w:p>
            <w:pPr>
              <w:jc w:val="left"/>
            </w:pPr>
            <w:r>
              <w:rPr>
                <w:rFonts w:ascii="宋体" w:eastAsia="宋体" w:hAnsi="宋体" w:cs="宋体"/>
                <w:sz w:val="20"/>
              </w:rPr>
              <w:t xml:space="preserve">单位：衢州市财政国库支付中心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20"/>
        <w:gridCol w:w="1640"/>
        <w:gridCol w:w="1640"/>
        <w:gridCol w:w="1640"/>
        <w:gridCol w:w="1640"/>
        <w:gridCol w:w="1640"/>
        <w:gridCol w:w="1638"/>
      </w:tblGrid>
      <w:tr>
        <w:trPr>
          <w:trHeight w:hRule="exact" w:val="615"/>
          <w:jc w:val="center"/>
        </w:trPr>
        <w:tc>
          <w:tcPr>
            <w:tcW w:w="4120" w:type="dxa"/>
            <w:vMerge w:val="restart"/>
            <w:vAlign w:val="center"/>
          </w:tcPr>
          <w:p>
            <w:pPr>
              <w:jc w:val="center"/>
            </w:pPr>
            <w:r>
              <w:rPr>
                <w:rFonts w:ascii="宋体" w:eastAsia="宋体" w:hAnsi="宋体" w:cs="宋体"/>
                <w:b w:val="0"/>
                <w:i w:val="0"/>
                <w:color w:val="000000"/>
                <w:sz w:val="19"/>
              </w:rPr>
              <w:t xml:space="preserve">单位名称</w:t>
            </w:r>
          </w:p>
        </w:tc>
        <w:tc>
          <w:tcPr>
            <w:tcW w:w="1640" w:type="dxa"/>
            <w:vMerge w:val="restart"/>
            <w:vAlign w:val="center"/>
          </w:tcPr>
          <w:p>
            <w:pPr>
              <w:jc w:val="center"/>
            </w:pPr>
            <w:r>
              <w:rPr>
                <w:rFonts w:ascii="宋体" w:eastAsia="宋体" w:hAnsi="宋体" w:cs="宋体"/>
                <w:b w:val="0"/>
                <w:i w:val="0"/>
                <w:color w:val="000000"/>
                <w:sz w:val="19"/>
              </w:rPr>
              <w:t xml:space="preserve">本年支出合计</w:t>
            </w:r>
          </w:p>
        </w:tc>
        <w:tc>
          <w:tcPr>
            <w:tcW w:w="1640" w:type="dxa"/>
            <w:vMerge w:val="restart"/>
            <w:vAlign w:val="center"/>
          </w:tcPr>
          <w:p>
            <w:pPr>
              <w:jc w:val="center"/>
            </w:pPr>
            <w:r>
              <w:rPr>
                <w:rFonts w:ascii="宋体" w:eastAsia="宋体" w:hAnsi="宋体" w:cs="宋体"/>
                <w:b w:val="0"/>
                <w:i w:val="0"/>
                <w:color w:val="000000"/>
                <w:sz w:val="19"/>
              </w:rPr>
              <w:t xml:space="preserve">基本支出</w:t>
            </w:r>
          </w:p>
        </w:tc>
        <w:tc>
          <w:tcPr>
            <w:tcW w:w="1640" w:type="dxa"/>
            <w:vMerge w:val="restart"/>
            <w:vAlign w:val="center"/>
          </w:tcPr>
          <w:p>
            <w:pPr>
              <w:jc w:val="center"/>
            </w:pPr>
            <w:r>
              <w:rPr>
                <w:rFonts w:ascii="宋体" w:eastAsia="宋体" w:hAnsi="宋体" w:cs="宋体"/>
                <w:b w:val="0"/>
                <w:i w:val="0"/>
                <w:color w:val="000000"/>
                <w:sz w:val="19"/>
              </w:rPr>
              <w:t xml:space="preserve">项目支出</w:t>
            </w:r>
          </w:p>
        </w:tc>
        <w:tc>
          <w:tcPr>
            <w:tcW w:w="1640" w:type="dxa"/>
            <w:vMerge w:val="restart"/>
            <w:vAlign w:val="center"/>
          </w:tcPr>
          <w:p>
            <w:pPr>
              <w:jc w:val="center"/>
            </w:pPr>
            <w:r>
              <w:rPr>
                <w:rFonts w:ascii="宋体" w:eastAsia="宋体" w:hAnsi="宋体" w:cs="宋体"/>
                <w:b w:val="0"/>
                <w:i w:val="0"/>
                <w:color w:val="000000"/>
                <w:sz w:val="19"/>
              </w:rPr>
              <w:t xml:space="preserve">上缴上级支出</w:t>
            </w:r>
          </w:p>
        </w:tc>
        <w:tc>
          <w:tcPr>
            <w:tcW w:w="1640" w:type="dxa"/>
            <w:vMerge w:val="restart"/>
            <w:vAlign w:val="center"/>
          </w:tcPr>
          <w:p>
            <w:pPr>
              <w:jc w:val="center"/>
            </w:pPr>
            <w:r>
              <w:rPr>
                <w:rFonts w:ascii="宋体" w:eastAsia="宋体" w:hAnsi="宋体" w:cs="宋体"/>
                <w:b w:val="0"/>
                <w:i w:val="0"/>
                <w:color w:val="000000"/>
                <w:sz w:val="19"/>
              </w:rPr>
              <w:t xml:space="preserve">经营支出</w:t>
            </w:r>
          </w:p>
        </w:tc>
        <w:tc>
          <w:tcPr>
            <w:tcW w:w="163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615"/>
          <w:jc w:val="center"/>
        </w:trPr>
        <w:tc>
          <w:tcPr>
            <w:tcW w:w="4120" w:type="dxa"/>
            <w:vMerge/>
            <w:tcBorders/>
            <w:vAlign w:val="center"/>
          </w:tcPr>
          <w:p>
            <w:pPr/>
          </w:p>
        </w:tc>
        <w:tc>
          <w:tcPr>
            <w:tcW w:w="1640" w:type="dxa"/>
            <w:vMerge/>
            <w:tcBorders/>
            <w:vAlign w:val="center"/>
          </w:tcPr>
          <w:p>
            <w:pPr/>
          </w:p>
        </w:tc>
        <w:tc>
          <w:tcPr>
            <w:tcW w:w="1640" w:type="dxa"/>
            <w:vMerge/>
            <w:tcBorders/>
            <w:vAlign w:val="center"/>
          </w:tcPr>
          <w:p>
            <w:pPr/>
          </w:p>
        </w:tc>
        <w:tc>
          <w:tcPr>
            <w:tcW w:w="1640" w:type="dxa"/>
            <w:vMerge/>
            <w:tcBorders/>
            <w:vAlign w:val="center"/>
          </w:tcPr>
          <w:p>
            <w:pPr/>
          </w:p>
        </w:tc>
        <w:tc>
          <w:tcPr>
            <w:tcW w:w="1640" w:type="dxa"/>
            <w:vMerge/>
            <w:tcBorders/>
            <w:vAlign w:val="center"/>
          </w:tcPr>
          <w:p>
            <w:pPr/>
          </w:p>
        </w:tc>
        <w:tc>
          <w:tcPr>
            <w:tcW w:w="1640" w:type="dxa"/>
            <w:vMerge/>
            <w:tcBorders/>
            <w:vAlign w:val="center"/>
          </w:tcPr>
          <w:p>
            <w:pPr/>
          </w:p>
        </w:tc>
        <w:tc>
          <w:tcPr>
            <w:tcW w:w="1638" w:type="dxa"/>
            <w:vMerge/>
            <w:tcBorders/>
            <w:vAlign w:val="center"/>
          </w:tcPr>
          <w:p>
            <w:pPr/>
          </w:p>
        </w:tc>
      </w:tr>
      <w:tr>
        <w:trPr>
          <w:trHeight w:hRule="exact" w:val="410"/>
          <w:jc w:val="center"/>
        </w:trPr>
        <w:tc>
          <w:tcPr>
            <w:tcW w:w="4120" w:type="dxa"/>
            <w:tcBorders/>
            <w:vAlign w:val="center"/>
          </w:tcPr>
          <w:p>
            <w:pPr>
              <w:jc w:val="center"/>
            </w:pPr>
            <w:r>
              <w:rPr>
                <w:rFonts w:ascii="宋体" w:eastAsia="宋体" w:hAnsi="宋体" w:cs="宋体"/>
                <w:b w:val="0"/>
                <w:i w:val="0"/>
                <w:color w:val="000000"/>
                <w:sz w:val="19"/>
              </w:rPr>
              <w:t xml:space="preserve">栏次</w:t>
            </w:r>
          </w:p>
        </w:tc>
        <w:tc>
          <w:tcPr>
            <w:tcW w:w="1640" w:type="dxa"/>
            <w:tcBorders/>
            <w:vAlign w:val="center"/>
          </w:tcPr>
          <w:p>
            <w:pPr>
              <w:jc w:val="center"/>
            </w:pPr>
            <w:r>
              <w:rPr>
                <w:rFonts w:ascii="宋体" w:eastAsia="宋体" w:hAnsi="宋体" w:cs="宋体"/>
                <w:b w:val="0"/>
                <w:i w:val="0"/>
                <w:color w:val="000000"/>
                <w:sz w:val="19"/>
              </w:rPr>
              <w:t xml:space="preserve">1</w:t>
            </w:r>
          </w:p>
        </w:tc>
        <w:tc>
          <w:tcPr>
            <w:tcW w:w="1640" w:type="dxa"/>
            <w:tcBorders/>
            <w:vAlign w:val="center"/>
          </w:tcPr>
          <w:p>
            <w:pPr>
              <w:jc w:val="center"/>
            </w:pPr>
            <w:r>
              <w:rPr>
                <w:rFonts w:ascii="宋体" w:eastAsia="宋体" w:hAnsi="宋体" w:cs="宋体"/>
                <w:b w:val="0"/>
                <w:i w:val="0"/>
                <w:color w:val="000000"/>
                <w:sz w:val="19"/>
              </w:rPr>
              <w:t xml:space="preserve">2</w:t>
            </w:r>
          </w:p>
        </w:tc>
        <w:tc>
          <w:tcPr>
            <w:tcW w:w="1640" w:type="dxa"/>
            <w:tcBorders/>
            <w:vAlign w:val="center"/>
          </w:tcPr>
          <w:p>
            <w:pPr>
              <w:jc w:val="center"/>
            </w:pPr>
            <w:r>
              <w:rPr>
                <w:rFonts w:ascii="宋体" w:eastAsia="宋体" w:hAnsi="宋体" w:cs="宋体"/>
                <w:b w:val="0"/>
                <w:i w:val="0"/>
                <w:color w:val="000000"/>
                <w:sz w:val="19"/>
              </w:rPr>
              <w:t xml:space="preserve">3</w:t>
            </w:r>
          </w:p>
        </w:tc>
        <w:tc>
          <w:tcPr>
            <w:tcW w:w="1640" w:type="dxa"/>
            <w:tcBorders/>
            <w:vAlign w:val="center"/>
          </w:tcPr>
          <w:p>
            <w:pPr>
              <w:jc w:val="center"/>
            </w:pPr>
            <w:r>
              <w:rPr>
                <w:rFonts w:ascii="宋体" w:eastAsia="宋体" w:hAnsi="宋体" w:cs="宋体"/>
                <w:b w:val="0"/>
                <w:i w:val="0"/>
                <w:color w:val="000000"/>
                <w:sz w:val="19"/>
              </w:rPr>
              <w:t xml:space="preserve">4</w:t>
            </w:r>
          </w:p>
        </w:tc>
        <w:tc>
          <w:tcPr>
            <w:tcW w:w="1640" w:type="dxa"/>
            <w:tcBorders/>
            <w:vAlign w:val="center"/>
          </w:tcPr>
          <w:p>
            <w:pPr>
              <w:jc w:val="center"/>
            </w:pPr>
            <w:r>
              <w:rPr>
                <w:rFonts w:ascii="宋体" w:eastAsia="宋体" w:hAnsi="宋体" w:cs="宋体"/>
                <w:b w:val="0"/>
                <w:i w:val="0"/>
                <w:color w:val="000000"/>
                <w:sz w:val="19"/>
              </w:rPr>
              <w:t xml:space="preserve">5</w:t>
            </w:r>
          </w:p>
        </w:tc>
        <w:tc>
          <w:tcPr>
            <w:tcW w:w="1638" w:type="dxa"/>
            <w:tcBorders/>
            <w:vAlign w:val="center"/>
          </w:tcPr>
          <w:p>
            <w:pPr>
              <w:jc w:val="center"/>
            </w:pPr>
            <w:r>
              <w:rPr>
                <w:rFonts w:ascii="宋体" w:eastAsia="宋体" w:hAnsi="宋体" w:cs="宋体"/>
                <w:b w:val="0"/>
                <w:i w:val="0"/>
                <w:color w:val="000000"/>
                <w:sz w:val="19"/>
              </w:rPr>
              <w:t xml:space="preserve">6</w:t>
            </w:r>
          </w:p>
        </w:tc>
      </w:tr>
      <w:tr>
        <w:trPr>
          <w:trHeight w:hRule="exact" w:val="410"/>
          <w:jc w:val="center"/>
        </w:trPr>
        <w:tc>
          <w:tcPr>
            <w:tcW w:w="4120" w:type="dxa"/>
            <w:tcBorders/>
            <w:vAlign w:val="center"/>
          </w:tcPr>
          <w:p>
            <w:pPr>
              <w:jc w:val="center"/>
            </w:pPr>
            <w:r>
              <w:rPr>
                <w:rFonts w:ascii="宋体" w:eastAsia="宋体" w:hAnsi="宋体" w:cs="宋体"/>
                <w:b w:val="0"/>
                <w:i w:val="0"/>
                <w:color w:val="000000"/>
                <w:sz w:val="19"/>
              </w:rPr>
              <w:t xml:space="preserve">合计</w:t>
            </w:r>
          </w:p>
        </w:tc>
        <w:tc>
          <w:tcPr>
            <w:tcW w:w="1640" w:type="dxa"/>
            <w:tcBorders/>
            <w:vAlign w:val="center"/>
          </w:tcPr>
          <w:p>
            <w:pPr>
              <w:jc w:val="right"/>
            </w:pPr>
            <w:r>
              <w:rPr>
                <w:rFonts w:ascii="宋体" w:eastAsia="宋体" w:hAnsi="宋体" w:cs="宋体"/>
                <w:b w:val="0"/>
                <w:i w:val="0"/>
                <w:color w:val="000000"/>
                <w:sz w:val="19"/>
              </w:rPr>
              <w:t xml:space="preserve">1,199.42</w:t>
            </w:r>
          </w:p>
        </w:tc>
        <w:tc>
          <w:tcPr>
            <w:tcW w:w="1640" w:type="dxa"/>
            <w:tcBorders/>
            <w:vAlign w:val="center"/>
          </w:tcPr>
          <w:p>
            <w:pPr>
              <w:jc w:val="right"/>
            </w:pPr>
            <w:r>
              <w:rPr>
                <w:rFonts w:ascii="宋体" w:eastAsia="宋体" w:hAnsi="宋体" w:cs="宋体"/>
                <w:b w:val="0"/>
                <w:i w:val="0"/>
                <w:color w:val="000000"/>
                <w:sz w:val="19"/>
              </w:rPr>
              <w:t xml:space="preserve">1,166.34</w:t>
            </w:r>
          </w:p>
        </w:tc>
        <w:tc>
          <w:tcPr>
            <w:tcW w:w="1640" w:type="dxa"/>
            <w:tcBorders/>
            <w:vAlign w:val="center"/>
          </w:tcPr>
          <w:p>
            <w:pPr>
              <w:jc w:val="right"/>
            </w:pPr>
            <w:r>
              <w:rPr>
                <w:rFonts w:ascii="宋体" w:eastAsia="宋体" w:hAnsi="宋体" w:cs="宋体"/>
                <w:b w:val="0"/>
                <w:i w:val="0"/>
                <w:color w:val="000000"/>
                <w:sz w:val="19"/>
              </w:rPr>
              <w:t xml:space="preserve">33.08</w:t>
            </w:r>
          </w:p>
        </w:tc>
        <w:tc>
          <w:tcPr>
            <w:tcW w:w="1640" w:type="dxa"/>
            <w:tcBorders/>
            <w:vAlign w:val="center"/>
          </w:tcPr>
          <w:p>
            <w:pPr>
              <w:jc w:val="right"/>
            </w:pPr>
            <w:r>
              <w:rPr>
                <w:rFonts w:ascii="宋体" w:eastAsia="宋体" w:hAnsi="宋体" w:cs="宋体"/>
                <w:b w:val="0"/>
                <w:i w:val="0"/>
                <w:color w:val="000000"/>
                <w:sz w:val="19"/>
              </w:rPr>
              <w:t xml:space="preserve">0.00</w:t>
            </w:r>
          </w:p>
        </w:tc>
        <w:tc>
          <w:tcPr>
            <w:tcW w:w="1640" w:type="dxa"/>
            <w:tcBorders/>
            <w:vAlign w:val="center"/>
          </w:tcPr>
          <w:p>
            <w:pPr>
              <w:jc w:val="right"/>
            </w:pPr>
            <w:r>
              <w:rPr>
                <w:rFonts w:ascii="宋体" w:eastAsia="宋体" w:hAnsi="宋体" w:cs="宋体"/>
                <w:b w:val="0"/>
                <w:i w:val="0"/>
                <w:color w:val="000000"/>
                <w:sz w:val="19"/>
              </w:rPr>
              <w:t xml:space="preserve">0.00</w:t>
            </w:r>
          </w:p>
        </w:tc>
        <w:tc>
          <w:tcPr>
            <w:tcW w:w="1638" w:type="dxa"/>
            <w:tcBorders/>
            <w:vAlign w:val="center"/>
          </w:tcPr>
          <w:p>
            <w:pPr>
              <w:jc w:val="right"/>
            </w:pPr>
            <w:r>
              <w:rPr>
                <w:rFonts w:ascii="宋体" w:eastAsia="宋体" w:hAnsi="宋体" w:cs="宋体"/>
                <w:b w:val="0"/>
                <w:i w:val="0"/>
                <w:color w:val="000000"/>
                <w:sz w:val="19"/>
              </w:rPr>
              <w:t xml:space="preserve">0.00</w:t>
            </w:r>
          </w:p>
        </w:tc>
      </w:tr>
      <w:tr>
        <w:trPr>
          <w:trHeight w:hRule="exact" w:val="615"/>
          <w:jc w:val="center"/>
        </w:trPr>
        <w:tc>
          <w:tcPr>
            <w:tcW w:w="4120" w:type="dxa"/>
            <w:tcBorders/>
            <w:vAlign w:val="center"/>
          </w:tcPr>
          <w:p>
            <w:pPr>
              <w:jc w:val="left"/>
            </w:pPr>
            <w:r>
              <w:rPr>
                <w:rFonts w:ascii="宋体" w:eastAsia="宋体" w:hAnsi="宋体" w:cs="宋体"/>
                <w:b w:val="0"/>
                <w:i w:val="0"/>
                <w:color w:val="000000"/>
                <w:sz w:val="19"/>
              </w:rPr>
              <w:t xml:space="preserve">衢州市财政国库支付中心</w:t>
            </w:r>
          </w:p>
        </w:tc>
        <w:tc>
          <w:tcPr>
            <w:tcW w:w="1640" w:type="dxa"/>
            <w:tcBorders/>
            <w:vAlign w:val="center"/>
          </w:tcPr>
          <w:p>
            <w:pPr>
              <w:jc w:val="right"/>
            </w:pPr>
            <w:r>
              <w:rPr>
                <w:rFonts w:ascii="宋体" w:eastAsia="宋体" w:hAnsi="宋体" w:cs="宋体"/>
                <w:b w:val="0"/>
                <w:i w:val="0"/>
                <w:color w:val="000000"/>
                <w:sz w:val="19"/>
              </w:rPr>
              <w:t xml:space="preserve">1,199.42</w:t>
            </w:r>
          </w:p>
        </w:tc>
        <w:tc>
          <w:tcPr>
            <w:tcW w:w="1640" w:type="dxa"/>
            <w:tcBorders/>
            <w:vAlign w:val="center"/>
          </w:tcPr>
          <w:p>
            <w:pPr>
              <w:jc w:val="right"/>
            </w:pPr>
            <w:r>
              <w:rPr>
                <w:rFonts w:ascii="宋体" w:eastAsia="宋体" w:hAnsi="宋体" w:cs="宋体"/>
                <w:b w:val="0"/>
                <w:i w:val="0"/>
                <w:color w:val="000000"/>
                <w:sz w:val="19"/>
              </w:rPr>
              <w:t xml:space="preserve">1,166.34</w:t>
            </w:r>
          </w:p>
        </w:tc>
        <w:tc>
          <w:tcPr>
            <w:tcW w:w="1640" w:type="dxa"/>
            <w:tcBorders/>
            <w:vAlign w:val="center"/>
          </w:tcPr>
          <w:p>
            <w:pPr>
              <w:jc w:val="right"/>
            </w:pPr>
            <w:r>
              <w:rPr>
                <w:rFonts w:ascii="宋体" w:eastAsia="宋体" w:hAnsi="宋体" w:cs="宋体"/>
                <w:b w:val="0"/>
                <w:i w:val="0"/>
                <w:color w:val="000000"/>
                <w:sz w:val="19"/>
              </w:rPr>
              <w:t xml:space="preserve">33.08</w:t>
            </w:r>
          </w:p>
        </w:tc>
        <w:tc>
          <w:tcPr>
            <w:tcW w:w="1640" w:type="dxa"/>
            <w:tcBorders/>
            <w:vAlign w:val="center"/>
          </w:tcPr>
          <w:p>
            <w:pPr>
              <w:jc w:val="right"/>
            </w:pPr>
            <w:r>
              <w:rPr>
                <w:rFonts w:ascii="宋体" w:eastAsia="宋体" w:hAnsi="宋体" w:cs="宋体"/>
                <w:b w:val="0"/>
                <w:i w:val="0"/>
                <w:color w:val="000000"/>
                <w:sz w:val="19"/>
              </w:rPr>
              <w:t xml:space="preserve">0.00</w:t>
            </w:r>
          </w:p>
        </w:tc>
        <w:tc>
          <w:tcPr>
            <w:tcW w:w="1640" w:type="dxa"/>
            <w:tcBorders/>
            <w:vAlign w:val="center"/>
          </w:tcPr>
          <w:p>
            <w:pPr>
              <w:jc w:val="right"/>
            </w:pPr>
            <w:r>
              <w:rPr>
                <w:rFonts w:ascii="宋体" w:eastAsia="宋体" w:hAnsi="宋体" w:cs="宋体"/>
                <w:b w:val="0"/>
                <w:i w:val="0"/>
                <w:color w:val="000000"/>
                <w:sz w:val="19"/>
              </w:rPr>
              <w:t xml:space="preserve">0.00</w:t>
            </w:r>
          </w:p>
        </w:tc>
        <w:tc>
          <w:tcPr>
            <w:tcW w:w="1638" w:type="dxa"/>
            <w:tcBorders/>
            <w:vAlign w:val="center"/>
          </w:tcPr>
          <w:p>
            <w:pPr>
              <w:jc w:val="right"/>
            </w:pPr>
            <w:r>
              <w:rPr>
                <w:rFonts w:ascii="宋体" w:eastAsia="宋体" w:hAnsi="宋体" w:cs="宋体"/>
                <w:b w:val="0"/>
                <w:i w:val="0"/>
                <w:color w:val="000000"/>
                <w:sz w:val="19"/>
              </w:rPr>
              <w:t xml:space="preserve">0.00</w:t>
            </w:r>
          </w:p>
        </w:tc>
      </w:tr>
      <w:tr>
        <w:trPr>
          <w:trHeight w:hRule="exact" w:val="410"/>
          <w:jc w:val="center"/>
        </w:trPr>
        <w:tc>
          <w:tcPr>
            <w:tcW w:w="1395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注：本表反映本年度各项支出情况。</w:t>
            </w:r>
          </w:p>
        </w:tc>
      </w:tr>
    </w:tbl>
    <w:p>
      <w:pPr>
        <w:snapToGrid w:val="0"/>
        <w:spacing w:before="0" w:after="0" w:line="0"/>
        <w:sectPr>
          <w:pgSz w:w="16838" w:h="11906" w:orient="landscape"/>
          <w:pgMar w:top="1134" w:right="1440" w:bottom="1134" w:left="1440" w:header="720" w:footer="720" w:gutter="0"/>
          <w:pgBorders/>
          <w:pgNumType w:fmt="decimal"/>
          <w:cols w:num="1" w:space="425">
            <w:col w:w="13958" w:space="425"/>
          </w:cols>
          <w:docGrid w:type="lines" w:linePitch="312" w:charSpace="0"/>
        </w:sectPr>
      </w:pPr>
      <w:r>
        <w:rPr>
          <w:sz w:val="8"/>
        </w:rPr>
        <w:t xml:space="preserve"> </w:t>
      </w:r>
    </w:p>
    <w:p>
      <w:pPr>
        <w:pStyle w:val="Heading2"/>
        <w:bidi w:val="0"/>
        <w:jc w:val="center"/>
        <w:rPr>
          <w:rFonts w:ascii="楷体" w:eastAsia="楷体" w:hAnsi="楷体" w:cs="楷体" w:hint="eastAsia"/>
          <w:b w:val="0"/>
          <w:bCs/>
          <w:lang w:val="en-US" w:eastAsia="zh-CN"/>
        </w:rPr>
      </w:pPr>
      <w:bookmarkStart w:id="16" w:name="_Toc5207"/>
      <w:bookmarkStart w:id="17" w:name="_Toc_1_2_0000000040"/>
      <w:r>
        <w:rPr>
          <w:rFonts w:ascii="楷体" w:eastAsia="楷体" w:hAnsi="楷体" w:cs="楷体" w:hint="eastAsia"/>
          <w:b w:val="0"/>
          <w:bCs/>
          <w:lang w:val="en-US" w:eastAsia="zh-CN"/>
        </w:rPr>
        <w:t xml:space="preserve">2023年度支出决算表（分科目）</w:t>
      </w:r>
      <w:bookmarkEnd w:id="16"/>
      <w:bookmarkEnd w:id="1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公开05表</w:t>
            </w:r>
          </w:p>
        </w:tc>
      </w:tr>
      <w:tr>
        <w:trPr>
          <w:trHeight w:hRule="auto" w:val="0"/>
          <w:jc w:val="center"/>
        </w:trPr>
        <w:tc>
          <w:tcPr>
            <w:tcW w:w="5979" w:type="dxa"/>
            <w:tcBorders/>
          </w:tcPr>
          <w:p>
            <w:pPr>
              <w:jc w:val="left"/>
            </w:pPr>
            <w:r>
              <w:rPr>
                <w:rFonts w:ascii="宋体" w:eastAsia="宋体" w:hAnsi="宋体" w:cs="宋体"/>
                <w:sz w:val="20"/>
              </w:rPr>
              <w:t xml:space="preserve">单位：衢州市财政国库支付中心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4380" w:type="dxa"/>
            <w:gridSpan w:val="4"/>
            <w:vAlign w:val="center"/>
          </w:tcPr>
          <w:p>
            <w:pPr>
              <w:jc w:val="center"/>
            </w:pPr>
            <w:r>
              <w:rPr>
                <w:rFonts w:ascii="宋体" w:eastAsia="宋体" w:hAnsi="宋体" w:cs="宋体"/>
                <w:b w:val="0"/>
                <w:i w:val="0"/>
                <w:color w:val="000000"/>
                <w:sz w:val="19"/>
              </w:rPr>
              <w:t xml:space="preserve">项   目</w:t>
            </w: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900" w:type="dxa"/>
            <w:gridSpan w:val="3"/>
            <w:vMerge w:val="restart"/>
            <w:tcBorders/>
            <w:vAlign w:val="center"/>
          </w:tcPr>
          <w:p>
            <w:pPr>
              <w:jc w:val="center"/>
            </w:pPr>
            <w:r>
              <w:rPr>
                <w:rFonts w:ascii="宋体" w:eastAsia="宋体" w:hAnsi="宋体" w:cs="宋体"/>
                <w:b w:val="0"/>
                <w:i w:val="0"/>
                <w:color w:val="000000"/>
                <w:sz w:val="19"/>
              </w:rPr>
              <w:t xml:space="preserve">支出功能分类科目编码</w:t>
            </w: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900" w:type="dxa"/>
            <w:gridSpan w:val="3"/>
            <w:v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900" w:type="dxa"/>
            <w:gridSpan w:val="3"/>
            <w:v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vMerge w:val="restart"/>
            <w:tcBorders/>
            <w:vAlign w:val="center"/>
          </w:tcPr>
          <w:p>
            <w:pPr>
              <w:jc w:val="center"/>
            </w:pPr>
            <w:r>
              <w:rPr>
                <w:rFonts w:ascii="宋体" w:eastAsia="宋体" w:hAnsi="宋体" w:cs="宋体"/>
                <w:b w:val="0"/>
                <w:i w:val="0"/>
                <w:color w:val="000000"/>
                <w:sz w:val="19"/>
              </w:rPr>
              <w:t xml:space="preserve">类</w:t>
            </w:r>
          </w:p>
        </w:tc>
        <w:tc>
          <w:tcPr>
            <w:tcW w:w="300" w:type="dxa"/>
            <w:vMerge w:val="restart"/>
            <w:tcBorders/>
            <w:vAlign w:val="center"/>
          </w:tcPr>
          <w:p>
            <w:pPr>
              <w:jc w:val="center"/>
            </w:pPr>
            <w:r>
              <w:rPr>
                <w:rFonts w:ascii="宋体" w:eastAsia="宋体" w:hAnsi="宋体" w:cs="宋体"/>
                <w:b w:val="0"/>
                <w:i w:val="0"/>
                <w:color w:val="000000"/>
                <w:sz w:val="19"/>
              </w:rPr>
              <w:t xml:space="preserve">款</w:t>
            </w:r>
          </w:p>
        </w:tc>
        <w:tc>
          <w:tcPr>
            <w:tcW w:w="300" w:type="dxa"/>
            <w:vMerge w:val="restart"/>
            <w:tcBorders/>
            <w:vAlign w:val="center"/>
          </w:tcPr>
          <w:p>
            <w:pPr>
              <w:jc w:val="center"/>
            </w:pPr>
            <w:r>
              <w:rPr>
                <w:rFonts w:ascii="宋体" w:eastAsia="宋体" w:hAnsi="宋体" w:cs="宋体"/>
                <w:b w:val="0"/>
                <w:i w:val="0"/>
                <w:color w:val="000000"/>
                <w:sz w:val="19"/>
              </w:rPr>
              <w:t xml:space="preserve">项</w:t>
            </w:r>
          </w:p>
        </w:tc>
        <w:tc>
          <w:tcPr>
            <w:tcW w:w="3480" w:type="dxa"/>
            <w:tcBorders/>
            <w:vAlign w:val="center"/>
          </w:tcPr>
          <w:p>
            <w:pPr>
              <w:jc w:val="center"/>
            </w:pPr>
            <w:r>
              <w:rPr>
                <w:rFonts w:ascii="宋体" w:eastAsia="宋体" w:hAnsi="宋体" w:cs="宋体"/>
                <w:b w:val="0"/>
                <w:i w:val="0"/>
                <w:color w:val="000000"/>
                <w:sz w:val="19"/>
              </w:rPr>
              <w:t xml:space="preserve">栏   次</w:t>
            </w: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vMerge/>
            <w:tcBorders/>
            <w:vAlign w:val="center"/>
          </w:tcPr>
          <w:p>
            <w:pPr/>
          </w:p>
        </w:tc>
        <w:tc>
          <w:tcPr>
            <w:tcW w:w="300" w:type="dxa"/>
            <w:vMerge/>
            <w:tcBorders/>
            <w:vAlign w:val="center"/>
          </w:tcPr>
          <w:p>
            <w:pPr/>
          </w:p>
        </w:tc>
        <w:tc>
          <w:tcPr>
            <w:tcW w:w="300" w:type="dxa"/>
            <w:vMerge/>
            <w:tcBorders/>
            <w:vAlign w:val="center"/>
          </w:tcPr>
          <w:p>
            <w:pPr/>
          </w:p>
        </w:tc>
        <w:tc>
          <w:tcPr>
            <w:tcW w:w="3480" w:type="dxa"/>
            <w:tcBorders/>
            <w:vAlign w:val="center"/>
          </w:tcPr>
          <w:p>
            <w:pPr>
              <w:jc w:val="center"/>
            </w:pPr>
            <w:r>
              <w:rPr>
                <w:rFonts w:ascii="宋体" w:eastAsia="宋体" w:hAnsi="宋体" w:cs="宋体"/>
                <w:b w:val="0"/>
                <w:i w:val="0"/>
                <w:color w:val="000000"/>
                <w:sz w:val="19"/>
              </w:rPr>
              <w:t xml:space="preserve">合计</w:t>
            </w:r>
          </w:p>
        </w:tc>
        <w:tc>
          <w:tcPr>
            <w:tcW w:w="1600" w:type="dxa"/>
            <w:tcBorders/>
            <w:vAlign w:val="center"/>
          </w:tcPr>
          <w:p>
            <w:pPr>
              <w:jc w:val="right"/>
            </w:pPr>
            <w:r>
              <w:rPr>
                <w:rFonts w:ascii="宋体" w:eastAsia="宋体" w:hAnsi="宋体" w:cs="宋体"/>
                <w:b w:val="0"/>
                <w:i w:val="0"/>
                <w:color w:val="000000"/>
                <w:sz w:val="19"/>
              </w:rPr>
              <w:t xml:space="preserve">1,199.42</w:t>
            </w:r>
          </w:p>
        </w:tc>
        <w:tc>
          <w:tcPr>
            <w:tcW w:w="1600" w:type="dxa"/>
            <w:tcBorders/>
            <w:vAlign w:val="center"/>
          </w:tcPr>
          <w:p>
            <w:pPr>
              <w:jc w:val="right"/>
            </w:pPr>
            <w:r>
              <w:rPr>
                <w:rFonts w:ascii="宋体" w:eastAsia="宋体" w:hAnsi="宋体" w:cs="宋体"/>
                <w:b w:val="0"/>
                <w:i w:val="0"/>
                <w:color w:val="000000"/>
                <w:sz w:val="19"/>
              </w:rPr>
              <w:t xml:space="preserve">1,166.34</w:t>
            </w:r>
          </w:p>
        </w:tc>
        <w:tc>
          <w:tcPr>
            <w:tcW w:w="1600" w:type="dxa"/>
            <w:tcBorders/>
            <w:vAlign w:val="center"/>
          </w:tcPr>
          <w:p>
            <w:pPr>
              <w:jc w:val="right"/>
            </w:pPr>
            <w:r>
              <w:rPr>
                <w:rFonts w:ascii="宋体" w:eastAsia="宋体" w:hAnsi="宋体" w:cs="宋体"/>
                <w:b w:val="0"/>
                <w:i w:val="0"/>
                <w:color w:val="000000"/>
                <w:sz w:val="19"/>
              </w:rPr>
              <w:t xml:space="preserve">33.08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201</w:t>
            </w: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950.94</w:t>
            </w:r>
          </w:p>
        </w:tc>
        <w:tc>
          <w:tcPr>
            <w:tcW w:w="1600" w:type="dxa"/>
            <w:tcBorders/>
            <w:vAlign w:val="center"/>
          </w:tcPr>
          <w:p>
            <w:pPr>
              <w:jc w:val="right"/>
            </w:pPr>
            <w:r>
              <w:rPr>
                <w:rFonts w:ascii="宋体" w:eastAsia="宋体" w:hAnsi="宋体" w:cs="宋体"/>
                <w:b w:val="0"/>
                <w:i w:val="0"/>
                <w:color w:val="000000"/>
                <w:sz w:val="19"/>
              </w:rPr>
              <w:t xml:space="preserve">917.86</w:t>
            </w:r>
          </w:p>
        </w:tc>
        <w:tc>
          <w:tcPr>
            <w:tcW w:w="1600" w:type="dxa"/>
            <w:tcBorders/>
            <w:vAlign w:val="center"/>
          </w:tcPr>
          <w:p>
            <w:pPr>
              <w:jc w:val="right"/>
            </w:pPr>
            <w:r>
              <w:rPr>
                <w:rFonts w:ascii="宋体" w:eastAsia="宋体" w:hAnsi="宋体" w:cs="宋体"/>
                <w:b w:val="0"/>
                <w:i w:val="0"/>
                <w:color w:val="000000"/>
                <w:sz w:val="19"/>
              </w:rPr>
              <w:t xml:space="preserve">33.08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20106</w:t>
            </w:r>
          </w:p>
        </w:tc>
        <w:tc>
          <w:tcPr>
            <w:tcW w:w="3480" w:type="dxa"/>
            <w:tcBorders/>
            <w:vAlign w:val="center"/>
          </w:tcPr>
          <w:p>
            <w:pPr>
              <w:jc w:val="left"/>
            </w:pPr>
            <w:r>
              <w:rPr>
                <w:rFonts w:ascii="宋体" w:eastAsia="宋体" w:hAnsi="宋体" w:cs="宋体"/>
                <w:b w:val="0"/>
                <w:i w:val="0"/>
                <w:color w:val="000000"/>
                <w:sz w:val="19"/>
              </w:rPr>
              <w:t xml:space="preserve">财政事务</w:t>
            </w:r>
          </w:p>
        </w:tc>
        <w:tc>
          <w:tcPr>
            <w:tcW w:w="1600" w:type="dxa"/>
            <w:tcBorders/>
            <w:vAlign w:val="center"/>
          </w:tcPr>
          <w:p>
            <w:pPr>
              <w:jc w:val="right"/>
            </w:pPr>
            <w:r>
              <w:rPr>
                <w:rFonts w:ascii="宋体" w:eastAsia="宋体" w:hAnsi="宋体" w:cs="宋体"/>
                <w:b w:val="0"/>
                <w:i w:val="0"/>
                <w:color w:val="000000"/>
                <w:sz w:val="19"/>
              </w:rPr>
              <w:t xml:space="preserve">950.94</w:t>
            </w:r>
          </w:p>
        </w:tc>
        <w:tc>
          <w:tcPr>
            <w:tcW w:w="1600" w:type="dxa"/>
            <w:tcBorders/>
            <w:vAlign w:val="center"/>
          </w:tcPr>
          <w:p>
            <w:pPr>
              <w:jc w:val="right"/>
            </w:pPr>
            <w:r>
              <w:rPr>
                <w:rFonts w:ascii="宋体" w:eastAsia="宋体" w:hAnsi="宋体" w:cs="宋体"/>
                <w:b w:val="0"/>
                <w:i w:val="0"/>
                <w:color w:val="000000"/>
                <w:sz w:val="19"/>
              </w:rPr>
              <w:t xml:space="preserve">917.86</w:t>
            </w:r>
          </w:p>
        </w:tc>
        <w:tc>
          <w:tcPr>
            <w:tcW w:w="1600" w:type="dxa"/>
            <w:tcBorders/>
            <w:vAlign w:val="center"/>
          </w:tcPr>
          <w:p>
            <w:pPr>
              <w:jc w:val="right"/>
            </w:pPr>
            <w:r>
              <w:rPr>
                <w:rFonts w:ascii="宋体" w:eastAsia="宋体" w:hAnsi="宋体" w:cs="宋体"/>
                <w:b w:val="0"/>
                <w:i w:val="0"/>
                <w:color w:val="000000"/>
                <w:sz w:val="19"/>
              </w:rPr>
              <w:t xml:space="preserve">33.08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2010601</w:t>
            </w: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917.86</w:t>
            </w:r>
          </w:p>
        </w:tc>
        <w:tc>
          <w:tcPr>
            <w:tcW w:w="1600" w:type="dxa"/>
            <w:tcBorders/>
            <w:vAlign w:val="center"/>
          </w:tcPr>
          <w:p>
            <w:pPr>
              <w:jc w:val="right"/>
            </w:pPr>
            <w:r>
              <w:rPr>
                <w:rFonts w:ascii="宋体" w:eastAsia="宋体" w:hAnsi="宋体" w:cs="宋体"/>
                <w:b w:val="0"/>
                <w:i w:val="0"/>
                <w:color w:val="000000"/>
                <w:sz w:val="19"/>
              </w:rPr>
              <w:t xml:space="preserve">917.86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2010605</w:t>
            </w:r>
          </w:p>
        </w:tc>
        <w:tc>
          <w:tcPr>
            <w:tcW w:w="3480" w:type="dxa"/>
            <w:tcBorders/>
            <w:vAlign w:val="center"/>
          </w:tcPr>
          <w:p>
            <w:pPr>
              <w:jc w:val="left"/>
            </w:pPr>
            <w:r>
              <w:rPr>
                <w:rFonts w:ascii="宋体" w:eastAsia="宋体" w:hAnsi="宋体" w:cs="宋体"/>
                <w:b w:val="0"/>
                <w:i w:val="0"/>
                <w:color w:val="000000"/>
                <w:sz w:val="19"/>
              </w:rPr>
              <w:t xml:space="preserve">财政国库业务</w:t>
            </w:r>
          </w:p>
        </w:tc>
        <w:tc>
          <w:tcPr>
            <w:tcW w:w="1600" w:type="dxa"/>
            <w:tcBorders/>
            <w:vAlign w:val="center"/>
          </w:tcPr>
          <w:p>
            <w:pPr>
              <w:jc w:val="right"/>
            </w:pPr>
            <w:r>
              <w:rPr>
                <w:rFonts w:ascii="宋体" w:eastAsia="宋体" w:hAnsi="宋体" w:cs="宋体"/>
                <w:b w:val="0"/>
                <w:i w:val="0"/>
                <w:color w:val="000000"/>
                <w:sz w:val="19"/>
              </w:rPr>
              <w:t xml:space="preserve">33.08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33.08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208</w:t>
            </w: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129.83</w:t>
            </w:r>
          </w:p>
        </w:tc>
        <w:tc>
          <w:tcPr>
            <w:tcW w:w="1600" w:type="dxa"/>
            <w:tcBorders/>
            <w:vAlign w:val="center"/>
          </w:tcPr>
          <w:p>
            <w:pPr>
              <w:jc w:val="right"/>
            </w:pPr>
            <w:r>
              <w:rPr>
                <w:rFonts w:ascii="宋体" w:eastAsia="宋体" w:hAnsi="宋体" w:cs="宋体"/>
                <w:b w:val="0"/>
                <w:i w:val="0"/>
                <w:color w:val="000000"/>
                <w:sz w:val="19"/>
              </w:rPr>
              <w:t xml:space="preserve">129.83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20805</w:t>
            </w: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129.83</w:t>
            </w:r>
          </w:p>
        </w:tc>
        <w:tc>
          <w:tcPr>
            <w:tcW w:w="1600" w:type="dxa"/>
            <w:tcBorders/>
            <w:vAlign w:val="center"/>
          </w:tcPr>
          <w:p>
            <w:pPr>
              <w:jc w:val="right"/>
            </w:pPr>
            <w:r>
              <w:rPr>
                <w:rFonts w:ascii="宋体" w:eastAsia="宋体" w:hAnsi="宋体" w:cs="宋体"/>
                <w:b w:val="0"/>
                <w:i w:val="0"/>
                <w:color w:val="000000"/>
                <w:sz w:val="19"/>
              </w:rPr>
              <w:t xml:space="preserve">129.83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2080505</w:t>
            </w: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74.54</w:t>
            </w:r>
          </w:p>
        </w:tc>
        <w:tc>
          <w:tcPr>
            <w:tcW w:w="1600" w:type="dxa"/>
            <w:tcBorders/>
            <w:vAlign w:val="center"/>
          </w:tcPr>
          <w:p>
            <w:pPr>
              <w:jc w:val="right"/>
            </w:pPr>
            <w:r>
              <w:rPr>
                <w:rFonts w:ascii="宋体" w:eastAsia="宋体" w:hAnsi="宋体" w:cs="宋体"/>
                <w:b w:val="0"/>
                <w:i w:val="0"/>
                <w:color w:val="000000"/>
                <w:sz w:val="19"/>
              </w:rPr>
              <w:t xml:space="preserve">74.54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2080506</w:t>
            </w:r>
          </w:p>
        </w:tc>
        <w:tc>
          <w:tcPr>
            <w:tcW w:w="3480" w:type="dxa"/>
            <w:tcBorders/>
            <w:vAlign w:val="center"/>
          </w:tcPr>
          <w:p>
            <w:pPr>
              <w:jc w:val="left"/>
            </w:pPr>
            <w:r>
              <w:rPr>
                <w:rFonts w:ascii="宋体" w:eastAsia="宋体" w:hAnsi="宋体" w:cs="宋体"/>
                <w:b w:val="0"/>
                <w:i w:val="0"/>
                <w:color w:val="000000"/>
                <w:sz w:val="19"/>
              </w:rPr>
              <w:t xml:space="preserve">机关事业单位职业年金缴费支出</w:t>
            </w:r>
          </w:p>
        </w:tc>
        <w:tc>
          <w:tcPr>
            <w:tcW w:w="1600" w:type="dxa"/>
            <w:tcBorders/>
            <w:vAlign w:val="center"/>
          </w:tcPr>
          <w:p>
            <w:pPr>
              <w:jc w:val="right"/>
            </w:pPr>
            <w:r>
              <w:rPr>
                <w:rFonts w:ascii="宋体" w:eastAsia="宋体" w:hAnsi="宋体" w:cs="宋体"/>
                <w:b w:val="0"/>
                <w:i w:val="0"/>
                <w:color w:val="000000"/>
                <w:sz w:val="19"/>
              </w:rPr>
              <w:t xml:space="preserve">37.27</w:t>
            </w:r>
          </w:p>
        </w:tc>
        <w:tc>
          <w:tcPr>
            <w:tcW w:w="1600" w:type="dxa"/>
            <w:tcBorders/>
            <w:vAlign w:val="center"/>
          </w:tcPr>
          <w:p>
            <w:pPr>
              <w:jc w:val="right"/>
            </w:pPr>
            <w:r>
              <w:rPr>
                <w:rFonts w:ascii="宋体" w:eastAsia="宋体" w:hAnsi="宋体" w:cs="宋体"/>
                <w:b w:val="0"/>
                <w:i w:val="0"/>
                <w:color w:val="000000"/>
                <w:sz w:val="19"/>
              </w:rPr>
              <w:t xml:space="preserve">37.27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2080599</w:t>
            </w:r>
          </w:p>
        </w:tc>
        <w:tc>
          <w:tcPr>
            <w:tcW w:w="3480" w:type="dxa"/>
            <w:tcBorders/>
            <w:vAlign w:val="center"/>
          </w:tcPr>
          <w:p>
            <w:pPr>
              <w:jc w:val="left"/>
            </w:pPr>
            <w:r>
              <w:rPr>
                <w:rFonts w:ascii="宋体" w:eastAsia="宋体" w:hAnsi="宋体" w:cs="宋体"/>
                <w:b w:val="0"/>
                <w:i w:val="0"/>
                <w:color w:val="000000"/>
                <w:sz w:val="19"/>
              </w:rPr>
              <w:t xml:space="preserve">其他行政事业单位养老支出</w:t>
            </w:r>
          </w:p>
        </w:tc>
        <w:tc>
          <w:tcPr>
            <w:tcW w:w="1600" w:type="dxa"/>
            <w:tcBorders/>
            <w:vAlign w:val="center"/>
          </w:tcPr>
          <w:p>
            <w:pPr>
              <w:jc w:val="right"/>
            </w:pPr>
            <w:r>
              <w:rPr>
                <w:rFonts w:ascii="宋体" w:eastAsia="宋体" w:hAnsi="宋体" w:cs="宋体"/>
                <w:b w:val="0"/>
                <w:i w:val="0"/>
                <w:color w:val="000000"/>
                <w:sz w:val="19"/>
              </w:rPr>
              <w:t xml:space="preserve">18.02</w:t>
            </w:r>
          </w:p>
        </w:tc>
        <w:tc>
          <w:tcPr>
            <w:tcW w:w="1600" w:type="dxa"/>
            <w:tcBorders/>
            <w:vAlign w:val="center"/>
          </w:tcPr>
          <w:p>
            <w:pPr>
              <w:jc w:val="right"/>
            </w:pPr>
            <w:r>
              <w:rPr>
                <w:rFonts w:ascii="宋体" w:eastAsia="宋体" w:hAnsi="宋体" w:cs="宋体"/>
                <w:b w:val="0"/>
                <w:i w:val="0"/>
                <w:color w:val="000000"/>
                <w:sz w:val="19"/>
              </w:rPr>
              <w:t xml:space="preserve">18.02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210</w:t>
            </w: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19.34</w:t>
            </w:r>
          </w:p>
        </w:tc>
        <w:tc>
          <w:tcPr>
            <w:tcW w:w="1600" w:type="dxa"/>
            <w:tcBorders/>
            <w:vAlign w:val="center"/>
          </w:tcPr>
          <w:p>
            <w:pPr>
              <w:jc w:val="right"/>
            </w:pPr>
            <w:r>
              <w:rPr>
                <w:rFonts w:ascii="宋体" w:eastAsia="宋体" w:hAnsi="宋体" w:cs="宋体"/>
                <w:b w:val="0"/>
                <w:i w:val="0"/>
                <w:color w:val="000000"/>
                <w:sz w:val="19"/>
              </w:rPr>
              <w:t xml:space="preserve">19.34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21011</w:t>
            </w: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19.34</w:t>
            </w:r>
          </w:p>
        </w:tc>
        <w:tc>
          <w:tcPr>
            <w:tcW w:w="1600" w:type="dxa"/>
            <w:tcBorders/>
            <w:vAlign w:val="center"/>
          </w:tcPr>
          <w:p>
            <w:pPr>
              <w:jc w:val="right"/>
            </w:pPr>
            <w:r>
              <w:rPr>
                <w:rFonts w:ascii="宋体" w:eastAsia="宋体" w:hAnsi="宋体" w:cs="宋体"/>
                <w:b w:val="0"/>
                <w:i w:val="0"/>
                <w:color w:val="000000"/>
                <w:sz w:val="19"/>
              </w:rPr>
              <w:t xml:space="preserve">19.34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2101199</w:t>
            </w:r>
          </w:p>
        </w:tc>
        <w:tc>
          <w:tcPr>
            <w:tcW w:w="3480" w:type="dxa"/>
            <w:tcBorders/>
            <w:vAlign w:val="center"/>
          </w:tcPr>
          <w:p>
            <w:pPr>
              <w:jc w:val="left"/>
            </w:pPr>
            <w:r>
              <w:rPr>
                <w:rFonts w:ascii="宋体" w:eastAsia="宋体" w:hAnsi="宋体" w:cs="宋体"/>
                <w:b w:val="0"/>
                <w:i w:val="0"/>
                <w:color w:val="000000"/>
                <w:sz w:val="19"/>
              </w:rPr>
              <w:t xml:space="preserve">其他行政事业单位医疗支出</w:t>
            </w:r>
          </w:p>
        </w:tc>
        <w:tc>
          <w:tcPr>
            <w:tcW w:w="1600" w:type="dxa"/>
            <w:tcBorders/>
            <w:vAlign w:val="center"/>
          </w:tcPr>
          <w:p>
            <w:pPr>
              <w:jc w:val="right"/>
            </w:pPr>
            <w:r>
              <w:rPr>
                <w:rFonts w:ascii="宋体" w:eastAsia="宋体" w:hAnsi="宋体" w:cs="宋体"/>
                <w:b w:val="0"/>
                <w:i w:val="0"/>
                <w:color w:val="000000"/>
                <w:sz w:val="19"/>
              </w:rPr>
              <w:t xml:space="preserve">19.34</w:t>
            </w:r>
          </w:p>
        </w:tc>
        <w:tc>
          <w:tcPr>
            <w:tcW w:w="1600" w:type="dxa"/>
            <w:tcBorders/>
            <w:vAlign w:val="center"/>
          </w:tcPr>
          <w:p>
            <w:pPr>
              <w:jc w:val="right"/>
            </w:pPr>
            <w:r>
              <w:rPr>
                <w:rFonts w:ascii="宋体" w:eastAsia="宋体" w:hAnsi="宋体" w:cs="宋体"/>
                <w:b w:val="0"/>
                <w:i w:val="0"/>
                <w:color w:val="000000"/>
                <w:sz w:val="19"/>
              </w:rPr>
              <w:t xml:space="preserve">19.34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221</w:t>
            </w: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99.31</w:t>
            </w:r>
          </w:p>
        </w:tc>
        <w:tc>
          <w:tcPr>
            <w:tcW w:w="1600" w:type="dxa"/>
            <w:tcBorders/>
            <w:vAlign w:val="center"/>
          </w:tcPr>
          <w:p>
            <w:pPr>
              <w:jc w:val="right"/>
            </w:pPr>
            <w:r>
              <w:rPr>
                <w:rFonts w:ascii="宋体" w:eastAsia="宋体" w:hAnsi="宋体" w:cs="宋体"/>
                <w:b w:val="0"/>
                <w:i w:val="0"/>
                <w:color w:val="000000"/>
                <w:sz w:val="19"/>
              </w:rPr>
              <w:t xml:space="preserve">99.31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22102</w:t>
            </w: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99.31</w:t>
            </w:r>
          </w:p>
        </w:tc>
        <w:tc>
          <w:tcPr>
            <w:tcW w:w="1600" w:type="dxa"/>
            <w:tcBorders/>
            <w:vAlign w:val="center"/>
          </w:tcPr>
          <w:p>
            <w:pPr>
              <w:jc w:val="right"/>
            </w:pPr>
            <w:r>
              <w:rPr>
                <w:rFonts w:ascii="宋体" w:eastAsia="宋体" w:hAnsi="宋体" w:cs="宋体"/>
                <w:b w:val="0"/>
                <w:i w:val="0"/>
                <w:color w:val="000000"/>
                <w:sz w:val="19"/>
              </w:rPr>
              <w:t xml:space="preserve">99.31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2210201</w:t>
            </w: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99.31</w:t>
            </w:r>
          </w:p>
        </w:tc>
        <w:tc>
          <w:tcPr>
            <w:tcW w:w="1600" w:type="dxa"/>
            <w:tcBorders/>
            <w:vAlign w:val="center"/>
          </w:tcPr>
          <w:p>
            <w:pPr>
              <w:jc w:val="right"/>
            </w:pPr>
            <w:r>
              <w:rPr>
                <w:rFonts w:ascii="宋体" w:eastAsia="宋体" w:hAnsi="宋体" w:cs="宋体"/>
                <w:b w:val="0"/>
                <w:i w:val="0"/>
                <w:color w:val="000000"/>
                <w:sz w:val="19"/>
              </w:rPr>
              <w:t xml:space="preserve">99.31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1395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7"/>
              </w:rPr>
              <w:t xml:space="preserve">注：本表反映本年度各项支出情况。</w:t>
            </w:r>
          </w:p>
        </w:tc>
      </w:tr>
    </w:tbl>
    <w:p>
      <w:pPr>
        <w:snapToGrid w:val="0"/>
        <w:spacing w:before="0" w:after="0" w:line="0"/>
      </w:pPr>
      <w:r>
        <w:rPr>
          <w:sz w:val="8"/>
        </w:rPr>
        <w:t xml:space="preserve"> </w:t>
      </w:r>
    </w:p>
    <w:p>
      <w:pPr>
        <w:rPr>
          <w:rFonts w:ascii="华文中宋" w:eastAsia="华文中宋" w:hAnsi="华文中宋" w:cs="华文中宋" w:hint="eastAsia"/>
          <w:color w:val="000000"/>
          <w:kern w:val="0"/>
          <w:sz w:val="32"/>
          <w:szCs w:val="32"/>
          <w:highlight w:val="none"/>
          <w:lang w:val="en-US" w:eastAsia="zh-CN"/>
        </w:rPr>
      </w:pPr>
      <w:r>
        <w:br w:type="page"/>
      </w:r>
    </w:p>
    <w:p>
      <w:pPr>
        <w:pStyle w:val="Heading2"/>
        <w:bidi w:val="0"/>
        <w:jc w:val="center"/>
        <w:rPr>
          <w:rFonts w:ascii="楷体" w:eastAsia="楷体" w:hAnsi="楷体" w:cs="楷体" w:hint="eastAsia"/>
          <w:b w:val="0"/>
          <w:bCs/>
          <w:lang w:val="en-US" w:eastAsia="zh-CN"/>
        </w:rPr>
      </w:pPr>
      <w:bookmarkStart w:id="18" w:name="_Toc27258"/>
      <w:bookmarkStart w:id="19" w:name="_Toc_1_2_0000000041"/>
      <w:r>
        <w:rPr>
          <w:rFonts w:ascii="楷体" w:eastAsia="楷体" w:hAnsi="楷体" w:cs="楷体" w:hint="eastAsia"/>
          <w:b w:val="0"/>
          <w:bCs/>
          <w:lang w:val="en-US" w:eastAsia="zh-CN"/>
        </w:rPr>
        <w:t xml:space="preserve">2023年度财政拨款收入支出决算总表</w:t>
      </w:r>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公开06表</w:t>
            </w:r>
          </w:p>
        </w:tc>
      </w:tr>
      <w:tr>
        <w:trPr>
          <w:trHeight w:hRule="auto" w:val="0"/>
          <w:jc w:val="center"/>
        </w:trPr>
        <w:tc>
          <w:tcPr>
            <w:tcW w:w="5979" w:type="dxa"/>
            <w:tcBorders/>
          </w:tcPr>
          <w:p>
            <w:pPr>
              <w:jc w:val="left"/>
            </w:pPr>
            <w:r>
              <w:rPr>
                <w:rFonts w:ascii="宋体" w:eastAsia="宋体" w:hAnsi="宋体" w:cs="宋体"/>
                <w:sz w:val="20"/>
              </w:rPr>
              <w:t xml:space="preserve">单位：衢州市财政国库支付中心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4660" w:type="dxa"/>
            <w:gridSpan w:val="3"/>
            <w:vAlign w:val="center"/>
          </w:tcPr>
          <w:p>
            <w:pPr>
              <w:jc w:val="center"/>
            </w:pPr>
            <w:r>
              <w:rPr>
                <w:rFonts w:ascii="宋体" w:eastAsia="宋体" w:hAnsi="宋体" w:cs="宋体"/>
                <w:b w:val="0"/>
                <w:i w:val="0"/>
                <w:color w:val="000000"/>
                <w:sz w:val="18"/>
              </w:rPr>
              <w:t xml:space="preserve">收     入</w:t>
            </w:r>
          </w:p>
        </w:tc>
        <w:tc>
          <w:tcPr>
            <w:tcW w:w="9298" w:type="dxa"/>
            <w:gridSpan w:val="6"/>
            <w:vAlign w:val="center"/>
          </w:tcPr>
          <w:p>
            <w:pPr>
              <w:jc w:val="center"/>
            </w:pPr>
            <w:r>
              <w:rPr>
                <w:rFonts w:ascii="宋体" w:eastAsia="宋体" w:hAnsi="宋体" w:cs="宋体"/>
                <w:b w:val="0"/>
                <w:i w:val="0"/>
                <w:color w:val="000000"/>
                <w:sz w:val="18"/>
              </w:rPr>
              <w:t xml:space="preserve">支     出</w:t>
            </w: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   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   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   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   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1,166.34</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917.86</w:t>
            </w:r>
          </w:p>
        </w:tc>
        <w:tc>
          <w:tcPr>
            <w:tcW w:w="1420" w:type="dxa"/>
            <w:tcBorders/>
            <w:vAlign w:val="center"/>
          </w:tcPr>
          <w:p>
            <w:pPr>
              <w:jc w:val="right"/>
            </w:pPr>
            <w:r>
              <w:rPr>
                <w:rFonts w:ascii="宋体" w:eastAsia="宋体" w:hAnsi="宋体" w:cs="宋体"/>
                <w:b w:val="0"/>
                <w:i w:val="0"/>
                <w:color w:val="000000"/>
                <w:sz w:val="18"/>
              </w:rPr>
              <w:t xml:space="preserve">917.86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129.83</w:t>
            </w:r>
          </w:p>
        </w:tc>
        <w:tc>
          <w:tcPr>
            <w:tcW w:w="1420" w:type="dxa"/>
            <w:tcBorders/>
            <w:vAlign w:val="center"/>
          </w:tcPr>
          <w:p>
            <w:pPr>
              <w:jc w:val="right"/>
            </w:pPr>
            <w:r>
              <w:rPr>
                <w:rFonts w:ascii="宋体" w:eastAsia="宋体" w:hAnsi="宋体" w:cs="宋体"/>
                <w:b w:val="0"/>
                <w:i w:val="0"/>
                <w:color w:val="000000"/>
                <w:sz w:val="18"/>
              </w:rPr>
              <w:t xml:space="preserve">129.83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19.34</w:t>
            </w:r>
          </w:p>
        </w:tc>
        <w:tc>
          <w:tcPr>
            <w:tcW w:w="1420" w:type="dxa"/>
            <w:tcBorders/>
            <w:vAlign w:val="center"/>
          </w:tcPr>
          <w:p>
            <w:pPr>
              <w:jc w:val="right"/>
            </w:pPr>
            <w:r>
              <w:rPr>
                <w:rFonts w:ascii="宋体" w:eastAsia="宋体" w:hAnsi="宋体" w:cs="宋体"/>
                <w:b w:val="0"/>
                <w:i w:val="0"/>
                <w:color w:val="000000"/>
                <w:sz w:val="18"/>
              </w:rPr>
              <w:t xml:space="preserve">19.34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99.31</w:t>
            </w:r>
          </w:p>
        </w:tc>
        <w:tc>
          <w:tcPr>
            <w:tcW w:w="1420" w:type="dxa"/>
            <w:tcBorders/>
            <w:vAlign w:val="center"/>
          </w:tcPr>
          <w:p>
            <w:pPr>
              <w:jc w:val="right"/>
            </w:pPr>
            <w:r>
              <w:rPr>
                <w:rFonts w:ascii="宋体" w:eastAsia="宋体" w:hAnsi="宋体" w:cs="宋体"/>
                <w:b w:val="0"/>
                <w:i w:val="0"/>
                <w:color w:val="000000"/>
                <w:sz w:val="18"/>
              </w:rPr>
              <w:t xml:space="preserve">99.31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6"/>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6"/>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1,166.34</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1,166.34</w:t>
            </w:r>
          </w:p>
        </w:tc>
        <w:tc>
          <w:tcPr>
            <w:tcW w:w="1420" w:type="dxa"/>
            <w:tcBorders/>
            <w:vAlign w:val="center"/>
          </w:tcPr>
          <w:p>
            <w:pPr>
              <w:jc w:val="right"/>
            </w:pPr>
            <w:r>
              <w:rPr>
                <w:rFonts w:ascii="宋体" w:eastAsia="宋体" w:hAnsi="宋体" w:cs="宋体"/>
                <w:b w:val="0"/>
                <w:i w:val="0"/>
                <w:color w:val="000000"/>
                <w:sz w:val="18"/>
              </w:rPr>
              <w:t xml:space="preserve">1,166.34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   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1,166.34</w:t>
            </w:r>
          </w:p>
        </w:tc>
        <w:tc>
          <w:tcPr>
            <w:tcW w:w="3080" w:type="dxa"/>
            <w:tcBorders/>
            <w:vAlign w:val="center"/>
          </w:tcPr>
          <w:p>
            <w:pPr>
              <w:jc w:val="center"/>
            </w:pPr>
            <w:r>
              <w:rPr>
                <w:rFonts w:ascii="宋体" w:eastAsia="宋体" w:hAnsi="宋体" w:cs="宋体"/>
                <w:b/>
                <w:i w:val="0"/>
                <w:color w:val="000000"/>
                <w:sz w:val="18"/>
              </w:rPr>
              <w:t xml:space="preserve">总   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1,166.34</w:t>
            </w:r>
          </w:p>
        </w:tc>
        <w:tc>
          <w:tcPr>
            <w:tcW w:w="1420" w:type="dxa"/>
            <w:tcBorders/>
            <w:vAlign w:val="center"/>
          </w:tcPr>
          <w:p>
            <w:pPr>
              <w:jc w:val="right"/>
            </w:pPr>
            <w:r>
              <w:rPr>
                <w:rFonts w:ascii="宋体" w:eastAsia="宋体" w:hAnsi="宋体" w:cs="宋体"/>
                <w:b w:val="0"/>
                <w:i w:val="0"/>
                <w:color w:val="000000"/>
                <w:sz w:val="18"/>
              </w:rPr>
              <w:t xml:space="preserve">1,166.34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12480"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注：本表反映本年度一般公共预算财政拨款、政府性基金预算财政拨款和国有资本经营预算财政拨款的总收支和年末结转结余情况。</w:t>
            </w:r>
          </w:p>
        </w:tc>
        <w:tc>
          <w:tcPr>
            <w:tcW w:w="1478"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6838" w:h="11906" w:orient="landscape"/>
          <w:pgMar w:top="1134" w:right="1440" w:bottom="1134" w:left="1440" w:header="720" w:footer="720" w:gutter="0"/>
          <w:pgBorders/>
          <w:pgNumType w:fmt="decimal"/>
          <w:cols w:num="1" w:space="425">
            <w:col w:w="13958" w:space="425"/>
          </w:cols>
          <w:docGrid w:type="lines" w:linePitch="312" w:charSpace="0"/>
        </w:sectPr>
      </w:pPr>
      <w:r>
        <w:rPr>
          <w:sz w:val="8"/>
        </w:rPr>
        <w:t xml:space="preserve"> </w:t>
      </w:r>
    </w:p>
    <w:p>
      <w:pPr>
        <w:pStyle w:val="Heading2"/>
        <w:bidi w:val="0"/>
        <w:jc w:val="center"/>
        <w:rPr>
          <w:rFonts w:ascii="楷体" w:eastAsia="楷体" w:hAnsi="楷体" w:cs="楷体" w:hint="eastAsia"/>
          <w:b w:val="0"/>
          <w:bCs/>
          <w:lang w:val="en-US" w:eastAsia="zh-CN"/>
        </w:rPr>
      </w:pPr>
      <w:bookmarkStart w:id="20" w:name="_Toc19421"/>
      <w:bookmarkStart w:id="21" w:name="_Toc_1_2_0000000042"/>
      <w:r>
        <w:rPr>
          <w:rFonts w:ascii="楷体" w:eastAsia="楷体" w:hAnsi="楷体" w:cs="楷体" w:hint="eastAsia"/>
          <w:b w:val="0"/>
          <w:bCs/>
          <w:lang w:val="en-US" w:eastAsia="zh-CN"/>
        </w:rPr>
        <w:t xml:space="preserve">2023年度一般公共预算财政拨款支出决算表</w:t>
      </w:r>
      <w:bookmarkEnd w:id="20"/>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公开07表</w:t>
            </w:r>
          </w:p>
        </w:tc>
      </w:tr>
      <w:tr>
        <w:trPr>
          <w:trHeight w:hRule="auto" w:val="0"/>
          <w:jc w:val="center"/>
        </w:trPr>
        <w:tc>
          <w:tcPr>
            <w:tcW w:w="5979" w:type="dxa"/>
            <w:tcBorders/>
          </w:tcPr>
          <w:p>
            <w:pPr>
              <w:jc w:val="left"/>
            </w:pPr>
            <w:r>
              <w:rPr>
                <w:rFonts w:ascii="宋体" w:eastAsia="宋体" w:hAnsi="宋体" w:cs="宋体"/>
                <w:sz w:val="20"/>
              </w:rPr>
              <w:t xml:space="preserve">单位：衢州市财政国库支付中心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5360"/>
        <w:gridCol w:w="2460"/>
        <w:gridCol w:w="2460"/>
        <w:gridCol w:w="2478"/>
      </w:tblGrid>
      <w:tr>
        <w:trPr>
          <w:trHeight w:hRule="exact" w:val="614"/>
          <w:jc w:val="center"/>
        </w:trPr>
        <w:tc>
          <w:tcPr>
            <w:tcW w:w="6560" w:type="dxa"/>
            <w:gridSpan w:val="4"/>
            <w:vAlign w:val="center"/>
          </w:tcPr>
          <w:p>
            <w:pPr>
              <w:jc w:val="center"/>
            </w:pPr>
            <w:r>
              <w:rPr>
                <w:rFonts w:ascii="宋体" w:eastAsia="宋体" w:hAnsi="宋体" w:cs="宋体"/>
                <w:b w:val="0"/>
                <w:i w:val="0"/>
                <w:color w:val="000000"/>
                <w:sz w:val="28"/>
              </w:rPr>
              <w:t xml:space="preserve">项   目</w:t>
            </w:r>
          </w:p>
        </w:tc>
        <w:tc>
          <w:tcPr>
            <w:tcW w:w="7398" w:type="dxa"/>
            <w:gridSpan w:val="3"/>
            <w:vAlign w:val="center"/>
          </w:tcPr>
          <w:p>
            <w:pPr>
              <w:jc w:val="center"/>
            </w:pPr>
            <w:r>
              <w:rPr>
                <w:rFonts w:ascii="宋体" w:eastAsia="宋体" w:hAnsi="宋体" w:cs="宋体"/>
                <w:b w:val="0"/>
                <w:i w:val="0"/>
                <w:color w:val="000000"/>
                <w:sz w:val="28"/>
              </w:rPr>
              <w:t xml:space="preserve">本年支出</w:t>
            </w:r>
          </w:p>
        </w:tc>
      </w:tr>
      <w:tr>
        <w:trPr>
          <w:trHeight w:hRule="exact" w:val="614"/>
          <w:jc w:val="center"/>
        </w:trPr>
        <w:tc>
          <w:tcPr>
            <w:tcW w:w="1200" w:type="dxa"/>
            <w:gridSpan w:val="3"/>
            <w:vMerge w:val="restart"/>
            <w:tcBorders/>
            <w:vAlign w:val="center"/>
          </w:tcPr>
          <w:p>
            <w:pPr>
              <w:jc w:val="center"/>
            </w:pPr>
            <w:r>
              <w:rPr>
                <w:rFonts w:ascii="宋体" w:eastAsia="宋体" w:hAnsi="宋体" w:cs="宋体"/>
                <w:b w:val="0"/>
                <w:i w:val="0"/>
                <w:color w:val="000000"/>
                <w:sz w:val="28"/>
              </w:rPr>
              <w:t xml:space="preserve">支出功能分类科目编码</w:t>
            </w:r>
          </w:p>
        </w:tc>
        <w:tc>
          <w:tcPr>
            <w:tcW w:w="5360" w:type="dxa"/>
            <w:vMerge w:val="restart"/>
            <w:tcBorders/>
            <w:vAlign w:val="center"/>
          </w:tcPr>
          <w:p>
            <w:pPr>
              <w:jc w:val="center"/>
            </w:pPr>
            <w:r>
              <w:rPr>
                <w:rFonts w:ascii="宋体" w:eastAsia="宋体" w:hAnsi="宋体" w:cs="宋体"/>
                <w:b w:val="0"/>
                <w:i w:val="0"/>
                <w:color w:val="000000"/>
                <w:sz w:val="28"/>
              </w:rPr>
              <w:t xml:space="preserve">科目名称</w:t>
            </w:r>
          </w:p>
        </w:tc>
        <w:tc>
          <w:tcPr>
            <w:tcW w:w="2460" w:type="dxa"/>
            <w:vMerge w:val="restart"/>
            <w:tcBorders/>
            <w:vAlign w:val="center"/>
          </w:tcPr>
          <w:p>
            <w:pPr>
              <w:jc w:val="center"/>
            </w:pPr>
            <w:r>
              <w:rPr>
                <w:rFonts w:ascii="宋体" w:eastAsia="宋体" w:hAnsi="宋体" w:cs="宋体"/>
                <w:b w:val="0"/>
                <w:i w:val="0"/>
                <w:color w:val="000000"/>
                <w:sz w:val="28"/>
              </w:rPr>
              <w:t xml:space="preserve">小计</w:t>
            </w:r>
          </w:p>
        </w:tc>
        <w:tc>
          <w:tcPr>
            <w:tcW w:w="2460" w:type="dxa"/>
            <w:vMerge w:val="restart"/>
            <w:tcBorders/>
            <w:vAlign w:val="center"/>
          </w:tcPr>
          <w:p>
            <w:pPr>
              <w:jc w:val="center"/>
            </w:pPr>
            <w:r>
              <w:rPr>
                <w:rFonts w:ascii="宋体" w:eastAsia="宋体" w:hAnsi="宋体" w:cs="宋体"/>
                <w:b w:val="0"/>
                <w:i w:val="0"/>
                <w:color w:val="000000"/>
                <w:sz w:val="28"/>
              </w:rPr>
              <w:t xml:space="preserve">基本支出</w:t>
            </w:r>
          </w:p>
        </w:tc>
        <w:tc>
          <w:tcPr>
            <w:tcW w:w="247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14"/>
          <w:jc w:val="center"/>
        </w:trPr>
        <w:tc>
          <w:tcPr>
            <w:tcW w:w="1200" w:type="dxa"/>
            <w:gridSpan w:val="3"/>
            <w:vMerge/>
            <w:tcBorders/>
            <w:vAlign w:val="center"/>
          </w:tcPr>
          <w:p>
            <w:pPr/>
          </w:p>
        </w:tc>
        <w:tc>
          <w:tcPr>
            <w:tcW w:w="5360" w:type="dxa"/>
            <w:vMerge/>
            <w:tcBorders/>
            <w:vAlign w:val="center"/>
          </w:tcPr>
          <w:p>
            <w:pPr/>
          </w:p>
        </w:tc>
        <w:tc>
          <w:tcPr>
            <w:tcW w:w="2460" w:type="dxa"/>
            <w:vMerge/>
            <w:tcBorders/>
            <w:vAlign w:val="center"/>
          </w:tcPr>
          <w:p>
            <w:pPr/>
          </w:p>
        </w:tc>
        <w:tc>
          <w:tcPr>
            <w:tcW w:w="2460" w:type="dxa"/>
            <w:vMerge/>
            <w:tcBorders/>
            <w:vAlign w:val="center"/>
          </w:tcPr>
          <w:p>
            <w:pPr/>
          </w:p>
        </w:tc>
        <w:tc>
          <w:tcPr>
            <w:tcW w:w="2478" w:type="dxa"/>
            <w:vMerge/>
            <w:tcBorders/>
            <w:vAlign w:val="center"/>
          </w:tcPr>
          <w:p>
            <w:pPr/>
          </w:p>
        </w:tc>
      </w:tr>
      <w:tr>
        <w:trPr>
          <w:trHeight w:hRule="exact" w:val="614"/>
          <w:jc w:val="center"/>
        </w:trPr>
        <w:tc>
          <w:tcPr>
            <w:tcW w:w="1200" w:type="dxa"/>
            <w:gridSpan w:val="3"/>
            <w:vMerge/>
            <w:tcBorders/>
            <w:vAlign w:val="center"/>
          </w:tcPr>
          <w:p>
            <w:pPr/>
          </w:p>
        </w:tc>
        <w:tc>
          <w:tcPr>
            <w:tcW w:w="5360" w:type="dxa"/>
            <w:vMerge/>
            <w:tcBorders/>
            <w:vAlign w:val="center"/>
          </w:tcPr>
          <w:p>
            <w:pPr/>
          </w:p>
        </w:tc>
        <w:tc>
          <w:tcPr>
            <w:tcW w:w="2460" w:type="dxa"/>
            <w:vMerge/>
            <w:tcBorders/>
            <w:vAlign w:val="center"/>
          </w:tcPr>
          <w:p>
            <w:pPr/>
          </w:p>
        </w:tc>
        <w:tc>
          <w:tcPr>
            <w:tcW w:w="2460" w:type="dxa"/>
            <w:vMerge/>
            <w:tcBorders/>
            <w:vAlign w:val="center"/>
          </w:tcPr>
          <w:p>
            <w:pPr/>
          </w:p>
        </w:tc>
        <w:tc>
          <w:tcPr>
            <w:tcW w:w="2478" w:type="dxa"/>
            <w:vMerge/>
            <w:tcBorders/>
            <w:vAlign w:val="center"/>
          </w:tcPr>
          <w:p>
            <w:pPr/>
          </w:p>
        </w:tc>
      </w:tr>
      <w:tr>
        <w:trPr>
          <w:trHeight w:hRule="exact" w:val="614"/>
          <w:jc w:val="center"/>
        </w:trPr>
        <w:tc>
          <w:tcPr>
            <w:tcW w:w="400" w:type="dxa"/>
            <w:vMerge w:val="restart"/>
            <w:tcBorders/>
            <w:vAlign w:val="center"/>
          </w:tcPr>
          <w:p>
            <w:pPr>
              <w:jc w:val="center"/>
            </w:pPr>
            <w:r>
              <w:rPr>
                <w:rFonts w:ascii="宋体" w:eastAsia="宋体" w:hAnsi="宋体" w:cs="宋体"/>
                <w:b w:val="0"/>
                <w:i w:val="0"/>
                <w:color w:val="000000"/>
                <w:sz w:val="28"/>
              </w:rPr>
              <w:t xml:space="preserve">类</w:t>
            </w:r>
          </w:p>
        </w:tc>
        <w:tc>
          <w:tcPr>
            <w:tcW w:w="400" w:type="dxa"/>
            <w:vMerge w:val="restart"/>
            <w:tcBorders/>
            <w:vAlign w:val="center"/>
          </w:tcPr>
          <w:p>
            <w:pPr>
              <w:jc w:val="center"/>
            </w:pPr>
            <w:r>
              <w:rPr>
                <w:rFonts w:ascii="宋体" w:eastAsia="宋体" w:hAnsi="宋体" w:cs="宋体"/>
                <w:b w:val="0"/>
                <w:i w:val="0"/>
                <w:color w:val="000000"/>
                <w:sz w:val="28"/>
              </w:rPr>
              <w:t xml:space="preserve">款</w:t>
            </w:r>
          </w:p>
        </w:tc>
        <w:tc>
          <w:tcPr>
            <w:tcW w:w="400" w:type="dxa"/>
            <w:vMerge w:val="restart"/>
            <w:tcBorders/>
            <w:vAlign w:val="center"/>
          </w:tcPr>
          <w:p>
            <w:pPr>
              <w:jc w:val="center"/>
            </w:pPr>
            <w:r>
              <w:rPr>
                <w:rFonts w:ascii="宋体" w:eastAsia="宋体" w:hAnsi="宋体" w:cs="宋体"/>
                <w:b w:val="0"/>
                <w:i w:val="0"/>
                <w:color w:val="000000"/>
                <w:sz w:val="28"/>
              </w:rPr>
              <w:t xml:space="preserve">项</w:t>
            </w:r>
          </w:p>
        </w:tc>
        <w:tc>
          <w:tcPr>
            <w:tcW w:w="5360" w:type="dxa"/>
            <w:tcBorders/>
            <w:vAlign w:val="center"/>
          </w:tcPr>
          <w:p>
            <w:pPr>
              <w:jc w:val="center"/>
            </w:pPr>
            <w:r>
              <w:rPr>
                <w:rFonts w:ascii="宋体" w:eastAsia="宋体" w:hAnsi="宋体" w:cs="宋体"/>
                <w:b w:val="0"/>
                <w:i w:val="0"/>
                <w:color w:val="000000"/>
                <w:sz w:val="28"/>
              </w:rPr>
              <w:t xml:space="preserve">栏次</w:t>
            </w:r>
          </w:p>
        </w:tc>
        <w:tc>
          <w:tcPr>
            <w:tcW w:w="2460" w:type="dxa"/>
            <w:tcBorders/>
            <w:vAlign w:val="center"/>
          </w:tcPr>
          <w:p>
            <w:pPr>
              <w:jc w:val="center"/>
            </w:pPr>
            <w:r>
              <w:rPr>
                <w:rFonts w:ascii="宋体" w:eastAsia="宋体" w:hAnsi="宋体" w:cs="宋体"/>
                <w:b w:val="0"/>
                <w:i w:val="0"/>
                <w:color w:val="000000"/>
                <w:sz w:val="28"/>
              </w:rPr>
              <w:t xml:space="preserve">1</w:t>
            </w:r>
          </w:p>
        </w:tc>
        <w:tc>
          <w:tcPr>
            <w:tcW w:w="2460" w:type="dxa"/>
            <w:tcBorders/>
            <w:vAlign w:val="center"/>
          </w:tcPr>
          <w:p>
            <w:pPr>
              <w:jc w:val="center"/>
            </w:pPr>
            <w:r>
              <w:rPr>
                <w:rFonts w:ascii="宋体" w:eastAsia="宋体" w:hAnsi="宋体" w:cs="宋体"/>
                <w:b w:val="0"/>
                <w:i w:val="0"/>
                <w:color w:val="000000"/>
                <w:sz w:val="28"/>
              </w:rPr>
              <w:t xml:space="preserve">2</w:t>
            </w:r>
          </w:p>
        </w:tc>
        <w:tc>
          <w:tcPr>
            <w:tcW w:w="2478" w:type="dxa"/>
            <w:tcBorders/>
            <w:vAlign w:val="center"/>
          </w:tcPr>
          <w:p>
            <w:pPr>
              <w:jc w:val="center"/>
            </w:pPr>
            <w:r>
              <w:rPr>
                <w:rFonts w:ascii="宋体" w:eastAsia="宋体" w:hAnsi="宋体" w:cs="宋体"/>
                <w:b w:val="0"/>
                <w:i w:val="0"/>
                <w:color w:val="000000"/>
                <w:sz w:val="28"/>
              </w:rPr>
              <w:t xml:space="preserve">3</w:t>
            </w:r>
          </w:p>
        </w:tc>
      </w:tr>
      <w:tr>
        <w:trPr>
          <w:trHeight w:hRule="exact" w:val="614"/>
          <w:jc w:val="center"/>
        </w:trPr>
        <w:tc>
          <w:tcPr>
            <w:tcW w:w="400" w:type="dxa"/>
            <w:vMerge/>
            <w:tcBorders/>
            <w:vAlign w:val="center"/>
          </w:tcPr>
          <w:p>
            <w:pPr/>
          </w:p>
        </w:tc>
        <w:tc>
          <w:tcPr>
            <w:tcW w:w="400" w:type="dxa"/>
            <w:vMerge/>
            <w:tcBorders/>
            <w:vAlign w:val="center"/>
          </w:tcPr>
          <w:p>
            <w:pPr/>
          </w:p>
        </w:tc>
        <w:tc>
          <w:tcPr>
            <w:tcW w:w="400" w:type="dxa"/>
            <w:vMerge/>
            <w:tcBorders/>
            <w:vAlign w:val="center"/>
          </w:tcPr>
          <w:p>
            <w:pPr/>
          </w:p>
        </w:tc>
        <w:tc>
          <w:tcPr>
            <w:tcW w:w="5360" w:type="dxa"/>
            <w:tcBorders/>
            <w:vAlign w:val="center"/>
          </w:tcPr>
          <w:p>
            <w:pPr>
              <w:jc w:val="center"/>
            </w:pPr>
            <w:r>
              <w:rPr>
                <w:rFonts w:ascii="宋体" w:eastAsia="宋体" w:hAnsi="宋体" w:cs="宋体"/>
                <w:b w:val="0"/>
                <w:i w:val="0"/>
                <w:color w:val="000000"/>
                <w:sz w:val="28"/>
              </w:rPr>
              <w:t xml:space="preserve">合计</w:t>
            </w:r>
          </w:p>
        </w:tc>
        <w:tc>
          <w:tcPr>
            <w:tcW w:w="2460" w:type="dxa"/>
            <w:tcBorders/>
            <w:vAlign w:val="center"/>
          </w:tcPr>
          <w:p>
            <w:pPr>
              <w:jc w:val="right"/>
            </w:pPr>
            <w:r>
              <w:rPr>
                <w:rFonts w:ascii="宋体" w:eastAsia="宋体" w:hAnsi="宋体" w:cs="宋体"/>
                <w:b w:val="0"/>
                <w:i w:val="0"/>
                <w:color w:val="000000"/>
                <w:sz w:val="28"/>
              </w:rPr>
              <w:t xml:space="preserve">1,166.34</w:t>
            </w:r>
          </w:p>
        </w:tc>
        <w:tc>
          <w:tcPr>
            <w:tcW w:w="2460" w:type="dxa"/>
            <w:tcBorders/>
            <w:vAlign w:val="center"/>
          </w:tcPr>
          <w:p>
            <w:pPr>
              <w:jc w:val="right"/>
            </w:pPr>
            <w:r>
              <w:rPr>
                <w:rFonts w:ascii="宋体" w:eastAsia="宋体" w:hAnsi="宋体" w:cs="宋体"/>
                <w:b w:val="0"/>
                <w:i w:val="0"/>
                <w:color w:val="000000"/>
                <w:sz w:val="28"/>
              </w:rPr>
              <w:t xml:space="preserve">1,166.34</w:t>
            </w:r>
          </w:p>
        </w:tc>
        <w:tc>
          <w:tcPr>
            <w:tcW w:w="2478" w:type="dxa"/>
            <w:tcBorders/>
            <w:vAlign w:val="center"/>
          </w:tcPr>
          <w:p>
            <w:pPr>
              <w:jc w:val="right"/>
            </w:pPr>
            <w:r>
              <w:rPr>
                <w:rFonts w:ascii="宋体" w:eastAsia="宋体" w:hAnsi="宋体" w:cs="宋体"/>
                <w:b w:val="0"/>
                <w:i w:val="0"/>
                <w:color w:val="000000"/>
                <w:sz w:val="28"/>
              </w:rPr>
              <w:t xml:space="preserve">0.00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201</w:t>
            </w:r>
          </w:p>
        </w:tc>
        <w:tc>
          <w:tcPr>
            <w:tcW w:w="5360" w:type="dxa"/>
            <w:tcBorders/>
            <w:vAlign w:val="center"/>
          </w:tcPr>
          <w:p>
            <w:pPr>
              <w:jc w:val="left"/>
            </w:pPr>
            <w:r>
              <w:rPr>
                <w:rFonts w:ascii="宋体" w:eastAsia="宋体" w:hAnsi="宋体" w:cs="宋体"/>
                <w:b w:val="0"/>
                <w:i w:val="0"/>
                <w:color w:val="000000"/>
                <w:sz w:val="28"/>
              </w:rPr>
              <w:t xml:space="preserve">一般公共服务支出</w:t>
            </w:r>
          </w:p>
        </w:tc>
        <w:tc>
          <w:tcPr>
            <w:tcW w:w="2460" w:type="dxa"/>
            <w:tcBorders/>
            <w:vAlign w:val="center"/>
          </w:tcPr>
          <w:p>
            <w:pPr>
              <w:jc w:val="right"/>
            </w:pPr>
            <w:r>
              <w:rPr>
                <w:rFonts w:ascii="宋体" w:eastAsia="宋体" w:hAnsi="宋体" w:cs="宋体"/>
                <w:b w:val="0"/>
                <w:i w:val="0"/>
                <w:color w:val="000000"/>
                <w:sz w:val="28"/>
              </w:rPr>
              <w:t xml:space="preserve">917.86</w:t>
            </w:r>
          </w:p>
        </w:tc>
        <w:tc>
          <w:tcPr>
            <w:tcW w:w="2460" w:type="dxa"/>
            <w:tcBorders/>
            <w:vAlign w:val="center"/>
          </w:tcPr>
          <w:p>
            <w:pPr>
              <w:jc w:val="right"/>
            </w:pPr>
            <w:r>
              <w:rPr>
                <w:rFonts w:ascii="宋体" w:eastAsia="宋体" w:hAnsi="宋体" w:cs="宋体"/>
                <w:b w:val="0"/>
                <w:i w:val="0"/>
                <w:color w:val="000000"/>
                <w:sz w:val="28"/>
              </w:rPr>
              <w:t xml:space="preserve">917.86</w:t>
            </w:r>
          </w:p>
        </w:tc>
        <w:tc>
          <w:tcPr>
            <w:tcW w:w="2478" w:type="dxa"/>
            <w:tcBorders/>
            <w:vAlign w:val="center"/>
          </w:tcPr>
          <w:p>
            <w:pPr>
              <w:jc w:val="right"/>
            </w:pPr>
            <w:r>
              <w:rPr>
                <w:rFonts w:ascii="宋体" w:eastAsia="宋体" w:hAnsi="宋体" w:cs="宋体"/>
                <w:b w:val="0"/>
                <w:i w:val="0"/>
                <w:color w:val="000000"/>
                <w:sz w:val="28"/>
              </w:rPr>
              <w:t xml:space="preserve">0.00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20106</w:t>
            </w:r>
          </w:p>
        </w:tc>
        <w:tc>
          <w:tcPr>
            <w:tcW w:w="5360" w:type="dxa"/>
            <w:tcBorders/>
            <w:vAlign w:val="center"/>
          </w:tcPr>
          <w:p>
            <w:pPr>
              <w:jc w:val="left"/>
            </w:pPr>
            <w:r>
              <w:rPr>
                <w:rFonts w:ascii="宋体" w:eastAsia="宋体" w:hAnsi="宋体" w:cs="宋体"/>
                <w:b w:val="0"/>
                <w:i w:val="0"/>
                <w:color w:val="000000"/>
                <w:sz w:val="28"/>
              </w:rPr>
              <w:t xml:space="preserve">财政事务</w:t>
            </w:r>
          </w:p>
        </w:tc>
        <w:tc>
          <w:tcPr>
            <w:tcW w:w="2460" w:type="dxa"/>
            <w:tcBorders/>
            <w:vAlign w:val="center"/>
          </w:tcPr>
          <w:p>
            <w:pPr>
              <w:jc w:val="right"/>
            </w:pPr>
            <w:r>
              <w:rPr>
                <w:rFonts w:ascii="宋体" w:eastAsia="宋体" w:hAnsi="宋体" w:cs="宋体"/>
                <w:b w:val="0"/>
                <w:i w:val="0"/>
                <w:color w:val="000000"/>
                <w:sz w:val="28"/>
              </w:rPr>
              <w:t xml:space="preserve">917.86</w:t>
            </w:r>
          </w:p>
        </w:tc>
        <w:tc>
          <w:tcPr>
            <w:tcW w:w="2460" w:type="dxa"/>
            <w:tcBorders/>
            <w:vAlign w:val="center"/>
          </w:tcPr>
          <w:p>
            <w:pPr>
              <w:jc w:val="right"/>
            </w:pPr>
            <w:r>
              <w:rPr>
                <w:rFonts w:ascii="宋体" w:eastAsia="宋体" w:hAnsi="宋体" w:cs="宋体"/>
                <w:b w:val="0"/>
                <w:i w:val="0"/>
                <w:color w:val="000000"/>
                <w:sz w:val="28"/>
              </w:rPr>
              <w:t xml:space="preserve">917.86</w:t>
            </w:r>
          </w:p>
        </w:tc>
        <w:tc>
          <w:tcPr>
            <w:tcW w:w="2478" w:type="dxa"/>
            <w:tcBorders/>
            <w:vAlign w:val="center"/>
          </w:tcPr>
          <w:p>
            <w:pPr>
              <w:jc w:val="right"/>
            </w:pPr>
            <w:r>
              <w:rPr>
                <w:rFonts w:ascii="宋体" w:eastAsia="宋体" w:hAnsi="宋体" w:cs="宋体"/>
                <w:b w:val="0"/>
                <w:i w:val="0"/>
                <w:color w:val="000000"/>
                <w:sz w:val="28"/>
              </w:rPr>
              <w:t xml:space="preserve">0.00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2010601</w:t>
            </w:r>
          </w:p>
        </w:tc>
        <w:tc>
          <w:tcPr>
            <w:tcW w:w="5360" w:type="dxa"/>
            <w:tcBorders/>
            <w:vAlign w:val="center"/>
          </w:tcPr>
          <w:p>
            <w:pPr>
              <w:jc w:val="left"/>
            </w:pPr>
            <w:r>
              <w:rPr>
                <w:rFonts w:ascii="宋体" w:eastAsia="宋体" w:hAnsi="宋体" w:cs="宋体"/>
                <w:b w:val="0"/>
                <w:i w:val="0"/>
                <w:color w:val="000000"/>
                <w:sz w:val="28"/>
              </w:rPr>
              <w:t xml:space="preserve">行政运行</w:t>
            </w:r>
          </w:p>
        </w:tc>
        <w:tc>
          <w:tcPr>
            <w:tcW w:w="2460" w:type="dxa"/>
            <w:tcBorders/>
            <w:vAlign w:val="center"/>
          </w:tcPr>
          <w:p>
            <w:pPr>
              <w:jc w:val="right"/>
            </w:pPr>
            <w:r>
              <w:rPr>
                <w:rFonts w:ascii="宋体" w:eastAsia="宋体" w:hAnsi="宋体" w:cs="宋体"/>
                <w:b w:val="0"/>
                <w:i w:val="0"/>
                <w:color w:val="000000"/>
                <w:sz w:val="28"/>
              </w:rPr>
              <w:t xml:space="preserve">917.86</w:t>
            </w:r>
          </w:p>
        </w:tc>
        <w:tc>
          <w:tcPr>
            <w:tcW w:w="2460" w:type="dxa"/>
            <w:tcBorders/>
            <w:vAlign w:val="center"/>
          </w:tcPr>
          <w:p>
            <w:pPr>
              <w:jc w:val="right"/>
            </w:pPr>
            <w:r>
              <w:rPr>
                <w:rFonts w:ascii="宋体" w:eastAsia="宋体" w:hAnsi="宋体" w:cs="宋体"/>
                <w:b w:val="0"/>
                <w:i w:val="0"/>
                <w:color w:val="000000"/>
                <w:sz w:val="28"/>
              </w:rPr>
              <w:t xml:space="preserve">917.86</w:t>
            </w:r>
          </w:p>
        </w:tc>
        <w:tc>
          <w:tcPr>
            <w:tcW w:w="2478" w:type="dxa"/>
            <w:tcBorders/>
            <w:vAlign w:val="center"/>
          </w:tcPr>
          <w:p>
            <w:pPr>
              <w:jc w:val="right"/>
            </w:pPr>
            <w:r>
              <w:rPr>
                <w:rFonts w:ascii="宋体" w:eastAsia="宋体" w:hAnsi="宋体" w:cs="宋体"/>
                <w:b w:val="0"/>
                <w:i w:val="0"/>
                <w:color w:val="000000"/>
                <w:sz w:val="28"/>
              </w:rPr>
              <w:t xml:space="preserve">0.00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208</w:t>
            </w:r>
          </w:p>
        </w:tc>
        <w:tc>
          <w:tcPr>
            <w:tcW w:w="5360" w:type="dxa"/>
            <w:tcBorders/>
            <w:vAlign w:val="center"/>
          </w:tcPr>
          <w:p>
            <w:pPr>
              <w:jc w:val="left"/>
            </w:pPr>
            <w:r>
              <w:rPr>
                <w:rFonts w:ascii="宋体" w:eastAsia="宋体" w:hAnsi="宋体" w:cs="宋体"/>
                <w:b w:val="0"/>
                <w:i w:val="0"/>
                <w:color w:val="000000"/>
                <w:sz w:val="28"/>
              </w:rPr>
              <w:t xml:space="preserve">社会保障和就业支出</w:t>
            </w:r>
          </w:p>
        </w:tc>
        <w:tc>
          <w:tcPr>
            <w:tcW w:w="2460" w:type="dxa"/>
            <w:tcBorders/>
            <w:vAlign w:val="center"/>
          </w:tcPr>
          <w:p>
            <w:pPr>
              <w:jc w:val="right"/>
            </w:pPr>
            <w:r>
              <w:rPr>
                <w:rFonts w:ascii="宋体" w:eastAsia="宋体" w:hAnsi="宋体" w:cs="宋体"/>
                <w:b w:val="0"/>
                <w:i w:val="0"/>
                <w:color w:val="000000"/>
                <w:sz w:val="28"/>
              </w:rPr>
              <w:t xml:space="preserve">129.83</w:t>
            </w:r>
          </w:p>
        </w:tc>
        <w:tc>
          <w:tcPr>
            <w:tcW w:w="2460" w:type="dxa"/>
            <w:tcBorders/>
            <w:vAlign w:val="center"/>
          </w:tcPr>
          <w:p>
            <w:pPr>
              <w:jc w:val="right"/>
            </w:pPr>
            <w:r>
              <w:rPr>
                <w:rFonts w:ascii="宋体" w:eastAsia="宋体" w:hAnsi="宋体" w:cs="宋体"/>
                <w:b w:val="0"/>
                <w:i w:val="0"/>
                <w:color w:val="000000"/>
                <w:sz w:val="28"/>
              </w:rPr>
              <w:t xml:space="preserve">129.83</w:t>
            </w:r>
          </w:p>
        </w:tc>
        <w:tc>
          <w:tcPr>
            <w:tcW w:w="2478" w:type="dxa"/>
            <w:tcBorders/>
            <w:vAlign w:val="center"/>
          </w:tcPr>
          <w:p>
            <w:pPr>
              <w:jc w:val="right"/>
            </w:pPr>
            <w:r>
              <w:rPr>
                <w:rFonts w:ascii="宋体" w:eastAsia="宋体" w:hAnsi="宋体" w:cs="宋体"/>
                <w:b w:val="0"/>
                <w:i w:val="0"/>
                <w:color w:val="000000"/>
                <w:sz w:val="28"/>
              </w:rPr>
              <w:t xml:space="preserve">0.00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20805</w:t>
            </w:r>
          </w:p>
        </w:tc>
        <w:tc>
          <w:tcPr>
            <w:tcW w:w="5360" w:type="dxa"/>
            <w:tcBorders/>
            <w:vAlign w:val="center"/>
          </w:tcPr>
          <w:p>
            <w:pPr>
              <w:jc w:val="left"/>
            </w:pPr>
            <w:r>
              <w:rPr>
                <w:rFonts w:ascii="宋体" w:eastAsia="宋体" w:hAnsi="宋体" w:cs="宋体"/>
                <w:b w:val="0"/>
                <w:i w:val="0"/>
                <w:color w:val="000000"/>
                <w:sz w:val="28"/>
              </w:rPr>
              <w:t xml:space="preserve">行政事业单位养老支出</w:t>
            </w:r>
          </w:p>
        </w:tc>
        <w:tc>
          <w:tcPr>
            <w:tcW w:w="2460" w:type="dxa"/>
            <w:tcBorders/>
            <w:vAlign w:val="center"/>
          </w:tcPr>
          <w:p>
            <w:pPr>
              <w:jc w:val="right"/>
            </w:pPr>
            <w:r>
              <w:rPr>
                <w:rFonts w:ascii="宋体" w:eastAsia="宋体" w:hAnsi="宋体" w:cs="宋体"/>
                <w:b w:val="0"/>
                <w:i w:val="0"/>
                <w:color w:val="000000"/>
                <w:sz w:val="28"/>
              </w:rPr>
              <w:t xml:space="preserve">129.83</w:t>
            </w:r>
          </w:p>
        </w:tc>
        <w:tc>
          <w:tcPr>
            <w:tcW w:w="2460" w:type="dxa"/>
            <w:tcBorders/>
            <w:vAlign w:val="center"/>
          </w:tcPr>
          <w:p>
            <w:pPr>
              <w:jc w:val="right"/>
            </w:pPr>
            <w:r>
              <w:rPr>
                <w:rFonts w:ascii="宋体" w:eastAsia="宋体" w:hAnsi="宋体" w:cs="宋体"/>
                <w:b w:val="0"/>
                <w:i w:val="0"/>
                <w:color w:val="000000"/>
                <w:sz w:val="28"/>
              </w:rPr>
              <w:t xml:space="preserve">129.83</w:t>
            </w:r>
          </w:p>
        </w:tc>
        <w:tc>
          <w:tcPr>
            <w:tcW w:w="2478" w:type="dxa"/>
            <w:tcBorders/>
            <w:vAlign w:val="center"/>
          </w:tcPr>
          <w:p>
            <w:pPr>
              <w:jc w:val="right"/>
            </w:pPr>
            <w:r>
              <w:rPr>
                <w:rFonts w:ascii="宋体" w:eastAsia="宋体" w:hAnsi="宋体" w:cs="宋体"/>
                <w:b w:val="0"/>
                <w:i w:val="0"/>
                <w:color w:val="000000"/>
                <w:sz w:val="28"/>
              </w:rPr>
              <w:t xml:space="preserve">0.00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2080505</w:t>
            </w:r>
          </w:p>
        </w:tc>
        <w:tc>
          <w:tcPr>
            <w:tcW w:w="5360" w:type="dxa"/>
            <w:tcBorders/>
            <w:vAlign w:val="center"/>
          </w:tcPr>
          <w:p>
            <w:pPr>
              <w:jc w:val="left"/>
            </w:pPr>
            <w:r>
              <w:rPr>
                <w:rFonts w:ascii="宋体" w:eastAsia="宋体" w:hAnsi="宋体" w:cs="宋体"/>
                <w:b w:val="0"/>
                <w:i w:val="0"/>
                <w:color w:val="000000"/>
                <w:sz w:val="28"/>
              </w:rPr>
              <w:t xml:space="preserve">机关事业单位基本养老保险缴费支出</w:t>
            </w:r>
          </w:p>
        </w:tc>
        <w:tc>
          <w:tcPr>
            <w:tcW w:w="2460" w:type="dxa"/>
            <w:tcBorders/>
            <w:vAlign w:val="center"/>
          </w:tcPr>
          <w:p>
            <w:pPr>
              <w:jc w:val="right"/>
            </w:pPr>
            <w:r>
              <w:rPr>
                <w:rFonts w:ascii="宋体" w:eastAsia="宋体" w:hAnsi="宋体" w:cs="宋体"/>
                <w:b w:val="0"/>
                <w:i w:val="0"/>
                <w:color w:val="000000"/>
                <w:sz w:val="28"/>
              </w:rPr>
              <w:t xml:space="preserve">74.54</w:t>
            </w:r>
          </w:p>
        </w:tc>
        <w:tc>
          <w:tcPr>
            <w:tcW w:w="2460" w:type="dxa"/>
            <w:tcBorders/>
            <w:vAlign w:val="center"/>
          </w:tcPr>
          <w:p>
            <w:pPr>
              <w:jc w:val="right"/>
            </w:pPr>
            <w:r>
              <w:rPr>
                <w:rFonts w:ascii="宋体" w:eastAsia="宋体" w:hAnsi="宋体" w:cs="宋体"/>
                <w:b w:val="0"/>
                <w:i w:val="0"/>
                <w:color w:val="000000"/>
                <w:sz w:val="28"/>
              </w:rPr>
              <w:t xml:space="preserve">74.54</w:t>
            </w:r>
          </w:p>
        </w:tc>
        <w:tc>
          <w:tcPr>
            <w:tcW w:w="2478" w:type="dxa"/>
            <w:tcBorders/>
            <w:vAlign w:val="center"/>
          </w:tcPr>
          <w:p>
            <w:pPr>
              <w:jc w:val="right"/>
            </w:pPr>
            <w:r>
              <w:rPr>
                <w:rFonts w:ascii="宋体" w:eastAsia="宋体" w:hAnsi="宋体" w:cs="宋体"/>
                <w:b w:val="0"/>
                <w:i w:val="0"/>
                <w:color w:val="000000"/>
                <w:sz w:val="28"/>
              </w:rPr>
              <w:t xml:space="preserve">0.00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2080506</w:t>
            </w:r>
          </w:p>
        </w:tc>
        <w:tc>
          <w:tcPr>
            <w:tcW w:w="5360" w:type="dxa"/>
            <w:tcBorders/>
            <w:vAlign w:val="center"/>
          </w:tcPr>
          <w:p>
            <w:pPr>
              <w:jc w:val="left"/>
            </w:pPr>
            <w:r>
              <w:rPr>
                <w:rFonts w:ascii="宋体" w:eastAsia="宋体" w:hAnsi="宋体" w:cs="宋体"/>
                <w:b w:val="0"/>
                <w:i w:val="0"/>
                <w:color w:val="000000"/>
                <w:sz w:val="28"/>
              </w:rPr>
              <w:t xml:space="preserve">机关事业单位职业年金缴费支出</w:t>
            </w:r>
          </w:p>
        </w:tc>
        <w:tc>
          <w:tcPr>
            <w:tcW w:w="2460" w:type="dxa"/>
            <w:tcBorders/>
            <w:vAlign w:val="center"/>
          </w:tcPr>
          <w:p>
            <w:pPr>
              <w:jc w:val="right"/>
            </w:pPr>
            <w:r>
              <w:rPr>
                <w:rFonts w:ascii="宋体" w:eastAsia="宋体" w:hAnsi="宋体" w:cs="宋体"/>
                <w:b w:val="0"/>
                <w:i w:val="0"/>
                <w:color w:val="000000"/>
                <w:sz w:val="28"/>
              </w:rPr>
              <w:t xml:space="preserve">37.27</w:t>
            </w:r>
          </w:p>
        </w:tc>
        <w:tc>
          <w:tcPr>
            <w:tcW w:w="2460" w:type="dxa"/>
            <w:tcBorders/>
            <w:vAlign w:val="center"/>
          </w:tcPr>
          <w:p>
            <w:pPr>
              <w:jc w:val="right"/>
            </w:pPr>
            <w:r>
              <w:rPr>
                <w:rFonts w:ascii="宋体" w:eastAsia="宋体" w:hAnsi="宋体" w:cs="宋体"/>
                <w:b w:val="0"/>
                <w:i w:val="0"/>
                <w:color w:val="000000"/>
                <w:sz w:val="28"/>
              </w:rPr>
              <w:t xml:space="preserve">37.27</w:t>
            </w:r>
          </w:p>
        </w:tc>
        <w:tc>
          <w:tcPr>
            <w:tcW w:w="2478" w:type="dxa"/>
            <w:tcBorders/>
            <w:vAlign w:val="center"/>
          </w:tcPr>
          <w:p>
            <w:pPr>
              <w:jc w:val="right"/>
            </w:pPr>
            <w:r>
              <w:rPr>
                <w:rFonts w:ascii="宋体" w:eastAsia="宋体" w:hAnsi="宋体" w:cs="宋体"/>
                <w:b w:val="0"/>
                <w:i w:val="0"/>
                <w:color w:val="000000"/>
                <w:sz w:val="28"/>
              </w:rPr>
              <w:t xml:space="preserve">0.00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2080599</w:t>
            </w:r>
          </w:p>
        </w:tc>
        <w:tc>
          <w:tcPr>
            <w:tcW w:w="5360" w:type="dxa"/>
            <w:tcBorders/>
            <w:vAlign w:val="center"/>
          </w:tcPr>
          <w:p>
            <w:pPr>
              <w:jc w:val="left"/>
            </w:pPr>
            <w:r>
              <w:rPr>
                <w:rFonts w:ascii="宋体" w:eastAsia="宋体" w:hAnsi="宋体" w:cs="宋体"/>
                <w:b w:val="0"/>
                <w:i w:val="0"/>
                <w:color w:val="000000"/>
                <w:sz w:val="28"/>
              </w:rPr>
              <w:t xml:space="preserve">其他行政事业单位养老支出</w:t>
            </w:r>
          </w:p>
        </w:tc>
        <w:tc>
          <w:tcPr>
            <w:tcW w:w="2460" w:type="dxa"/>
            <w:tcBorders/>
            <w:vAlign w:val="center"/>
          </w:tcPr>
          <w:p>
            <w:pPr>
              <w:jc w:val="right"/>
            </w:pPr>
            <w:r>
              <w:rPr>
                <w:rFonts w:ascii="宋体" w:eastAsia="宋体" w:hAnsi="宋体" w:cs="宋体"/>
                <w:b w:val="0"/>
                <w:i w:val="0"/>
                <w:color w:val="000000"/>
                <w:sz w:val="28"/>
              </w:rPr>
              <w:t xml:space="preserve">18.02</w:t>
            </w:r>
          </w:p>
        </w:tc>
        <w:tc>
          <w:tcPr>
            <w:tcW w:w="2460" w:type="dxa"/>
            <w:tcBorders/>
            <w:vAlign w:val="center"/>
          </w:tcPr>
          <w:p>
            <w:pPr>
              <w:jc w:val="right"/>
            </w:pPr>
            <w:r>
              <w:rPr>
                <w:rFonts w:ascii="宋体" w:eastAsia="宋体" w:hAnsi="宋体" w:cs="宋体"/>
                <w:b w:val="0"/>
                <w:i w:val="0"/>
                <w:color w:val="000000"/>
                <w:sz w:val="28"/>
              </w:rPr>
              <w:t xml:space="preserve">18.02</w:t>
            </w:r>
          </w:p>
        </w:tc>
        <w:tc>
          <w:tcPr>
            <w:tcW w:w="2478" w:type="dxa"/>
            <w:tcBorders/>
            <w:vAlign w:val="center"/>
          </w:tcPr>
          <w:p>
            <w:pPr>
              <w:jc w:val="right"/>
            </w:pPr>
            <w:r>
              <w:rPr>
                <w:rFonts w:ascii="宋体" w:eastAsia="宋体" w:hAnsi="宋体" w:cs="宋体"/>
                <w:b w:val="0"/>
                <w:i w:val="0"/>
                <w:color w:val="000000"/>
                <w:sz w:val="28"/>
              </w:rPr>
              <w:t xml:space="preserve">0.00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210</w:t>
            </w:r>
          </w:p>
        </w:tc>
        <w:tc>
          <w:tcPr>
            <w:tcW w:w="5360" w:type="dxa"/>
            <w:tcBorders/>
            <w:vAlign w:val="center"/>
          </w:tcPr>
          <w:p>
            <w:pPr>
              <w:jc w:val="left"/>
            </w:pPr>
            <w:r>
              <w:rPr>
                <w:rFonts w:ascii="宋体" w:eastAsia="宋体" w:hAnsi="宋体" w:cs="宋体"/>
                <w:b w:val="0"/>
                <w:i w:val="0"/>
                <w:color w:val="000000"/>
                <w:sz w:val="28"/>
              </w:rPr>
              <w:t xml:space="preserve">卫生健康支出</w:t>
            </w:r>
          </w:p>
        </w:tc>
        <w:tc>
          <w:tcPr>
            <w:tcW w:w="2460" w:type="dxa"/>
            <w:tcBorders/>
            <w:vAlign w:val="center"/>
          </w:tcPr>
          <w:p>
            <w:pPr>
              <w:jc w:val="right"/>
            </w:pPr>
            <w:r>
              <w:rPr>
                <w:rFonts w:ascii="宋体" w:eastAsia="宋体" w:hAnsi="宋体" w:cs="宋体"/>
                <w:b w:val="0"/>
                <w:i w:val="0"/>
                <w:color w:val="000000"/>
                <w:sz w:val="28"/>
              </w:rPr>
              <w:t xml:space="preserve">19.34</w:t>
            </w:r>
          </w:p>
        </w:tc>
        <w:tc>
          <w:tcPr>
            <w:tcW w:w="2460" w:type="dxa"/>
            <w:tcBorders/>
            <w:vAlign w:val="center"/>
          </w:tcPr>
          <w:p>
            <w:pPr>
              <w:jc w:val="right"/>
            </w:pPr>
            <w:r>
              <w:rPr>
                <w:rFonts w:ascii="宋体" w:eastAsia="宋体" w:hAnsi="宋体" w:cs="宋体"/>
                <w:b w:val="0"/>
                <w:i w:val="0"/>
                <w:color w:val="000000"/>
                <w:sz w:val="28"/>
              </w:rPr>
              <w:t xml:space="preserve">19.34</w:t>
            </w:r>
          </w:p>
        </w:tc>
        <w:tc>
          <w:tcPr>
            <w:tcW w:w="2478" w:type="dxa"/>
            <w:tcBorders/>
            <w:vAlign w:val="center"/>
          </w:tcPr>
          <w:p>
            <w:pPr>
              <w:jc w:val="right"/>
            </w:pPr>
            <w:r>
              <w:rPr>
                <w:rFonts w:ascii="宋体" w:eastAsia="宋体" w:hAnsi="宋体" w:cs="宋体"/>
                <w:b w:val="0"/>
                <w:i w:val="0"/>
                <w:color w:val="000000"/>
                <w:sz w:val="28"/>
              </w:rPr>
              <w:t xml:space="preserve">0.00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21011</w:t>
            </w:r>
          </w:p>
        </w:tc>
        <w:tc>
          <w:tcPr>
            <w:tcW w:w="5360" w:type="dxa"/>
            <w:tcBorders/>
            <w:vAlign w:val="center"/>
          </w:tcPr>
          <w:p>
            <w:pPr>
              <w:jc w:val="left"/>
            </w:pPr>
            <w:r>
              <w:rPr>
                <w:rFonts w:ascii="宋体" w:eastAsia="宋体" w:hAnsi="宋体" w:cs="宋体"/>
                <w:b w:val="0"/>
                <w:i w:val="0"/>
                <w:color w:val="000000"/>
                <w:sz w:val="28"/>
              </w:rPr>
              <w:t xml:space="preserve">行政事业单位医疗</w:t>
            </w:r>
          </w:p>
        </w:tc>
        <w:tc>
          <w:tcPr>
            <w:tcW w:w="2460" w:type="dxa"/>
            <w:tcBorders/>
            <w:vAlign w:val="center"/>
          </w:tcPr>
          <w:p>
            <w:pPr>
              <w:jc w:val="right"/>
            </w:pPr>
            <w:r>
              <w:rPr>
                <w:rFonts w:ascii="宋体" w:eastAsia="宋体" w:hAnsi="宋体" w:cs="宋体"/>
                <w:b w:val="0"/>
                <w:i w:val="0"/>
                <w:color w:val="000000"/>
                <w:sz w:val="28"/>
              </w:rPr>
              <w:t xml:space="preserve">19.34</w:t>
            </w:r>
          </w:p>
        </w:tc>
        <w:tc>
          <w:tcPr>
            <w:tcW w:w="2460" w:type="dxa"/>
            <w:tcBorders/>
            <w:vAlign w:val="center"/>
          </w:tcPr>
          <w:p>
            <w:pPr>
              <w:jc w:val="right"/>
            </w:pPr>
            <w:r>
              <w:rPr>
                <w:rFonts w:ascii="宋体" w:eastAsia="宋体" w:hAnsi="宋体" w:cs="宋体"/>
                <w:b w:val="0"/>
                <w:i w:val="0"/>
                <w:color w:val="000000"/>
                <w:sz w:val="28"/>
              </w:rPr>
              <w:t xml:space="preserve">19.34</w:t>
            </w:r>
          </w:p>
        </w:tc>
        <w:tc>
          <w:tcPr>
            <w:tcW w:w="2478" w:type="dxa"/>
            <w:tcBorders/>
            <w:vAlign w:val="center"/>
          </w:tcPr>
          <w:p>
            <w:pPr>
              <w:jc w:val="right"/>
            </w:pPr>
            <w:r>
              <w:rPr>
                <w:rFonts w:ascii="宋体" w:eastAsia="宋体" w:hAnsi="宋体" w:cs="宋体"/>
                <w:b w:val="0"/>
                <w:i w:val="0"/>
                <w:color w:val="000000"/>
                <w:sz w:val="28"/>
              </w:rPr>
              <w:t xml:space="preserve">0.00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2101199</w:t>
            </w:r>
          </w:p>
        </w:tc>
        <w:tc>
          <w:tcPr>
            <w:tcW w:w="5360" w:type="dxa"/>
            <w:tcBorders/>
            <w:vAlign w:val="center"/>
          </w:tcPr>
          <w:p>
            <w:pPr>
              <w:jc w:val="left"/>
            </w:pPr>
            <w:r>
              <w:rPr>
                <w:rFonts w:ascii="宋体" w:eastAsia="宋体" w:hAnsi="宋体" w:cs="宋体"/>
                <w:b w:val="0"/>
                <w:i w:val="0"/>
                <w:color w:val="000000"/>
                <w:sz w:val="28"/>
              </w:rPr>
              <w:t xml:space="preserve">其他行政事业单位医疗支出</w:t>
            </w:r>
          </w:p>
        </w:tc>
        <w:tc>
          <w:tcPr>
            <w:tcW w:w="2460" w:type="dxa"/>
            <w:tcBorders/>
            <w:vAlign w:val="center"/>
          </w:tcPr>
          <w:p>
            <w:pPr>
              <w:jc w:val="right"/>
            </w:pPr>
            <w:r>
              <w:rPr>
                <w:rFonts w:ascii="宋体" w:eastAsia="宋体" w:hAnsi="宋体" w:cs="宋体"/>
                <w:b w:val="0"/>
                <w:i w:val="0"/>
                <w:color w:val="000000"/>
                <w:sz w:val="28"/>
              </w:rPr>
              <w:t xml:space="preserve">19.34</w:t>
            </w:r>
          </w:p>
        </w:tc>
        <w:tc>
          <w:tcPr>
            <w:tcW w:w="2460" w:type="dxa"/>
            <w:tcBorders/>
            <w:vAlign w:val="center"/>
          </w:tcPr>
          <w:p>
            <w:pPr>
              <w:jc w:val="right"/>
            </w:pPr>
            <w:r>
              <w:rPr>
                <w:rFonts w:ascii="宋体" w:eastAsia="宋体" w:hAnsi="宋体" w:cs="宋体"/>
                <w:b w:val="0"/>
                <w:i w:val="0"/>
                <w:color w:val="000000"/>
                <w:sz w:val="28"/>
              </w:rPr>
              <w:t xml:space="preserve">19.34</w:t>
            </w:r>
          </w:p>
        </w:tc>
        <w:tc>
          <w:tcPr>
            <w:tcW w:w="2478" w:type="dxa"/>
            <w:tcBorders/>
            <w:vAlign w:val="center"/>
          </w:tcPr>
          <w:p>
            <w:pPr>
              <w:jc w:val="right"/>
            </w:pPr>
            <w:r>
              <w:rPr>
                <w:rFonts w:ascii="宋体" w:eastAsia="宋体" w:hAnsi="宋体" w:cs="宋体"/>
                <w:b w:val="0"/>
                <w:i w:val="0"/>
                <w:color w:val="000000"/>
                <w:sz w:val="28"/>
              </w:rPr>
              <w:t xml:space="preserve">0.00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221</w:t>
            </w:r>
          </w:p>
        </w:tc>
        <w:tc>
          <w:tcPr>
            <w:tcW w:w="5360" w:type="dxa"/>
            <w:tcBorders/>
            <w:vAlign w:val="center"/>
          </w:tcPr>
          <w:p>
            <w:pPr>
              <w:jc w:val="left"/>
            </w:pPr>
            <w:r>
              <w:rPr>
                <w:rFonts w:ascii="宋体" w:eastAsia="宋体" w:hAnsi="宋体" w:cs="宋体"/>
                <w:b w:val="0"/>
                <w:i w:val="0"/>
                <w:color w:val="000000"/>
                <w:sz w:val="28"/>
              </w:rPr>
              <w:t xml:space="preserve">住房保障支出</w:t>
            </w:r>
          </w:p>
        </w:tc>
        <w:tc>
          <w:tcPr>
            <w:tcW w:w="2460" w:type="dxa"/>
            <w:tcBorders/>
            <w:vAlign w:val="center"/>
          </w:tcPr>
          <w:p>
            <w:pPr>
              <w:jc w:val="right"/>
            </w:pPr>
            <w:r>
              <w:rPr>
                <w:rFonts w:ascii="宋体" w:eastAsia="宋体" w:hAnsi="宋体" w:cs="宋体"/>
                <w:b w:val="0"/>
                <w:i w:val="0"/>
                <w:color w:val="000000"/>
                <w:sz w:val="28"/>
              </w:rPr>
              <w:t xml:space="preserve">99.31</w:t>
            </w:r>
          </w:p>
        </w:tc>
        <w:tc>
          <w:tcPr>
            <w:tcW w:w="2460" w:type="dxa"/>
            <w:tcBorders/>
            <w:vAlign w:val="center"/>
          </w:tcPr>
          <w:p>
            <w:pPr>
              <w:jc w:val="right"/>
            </w:pPr>
            <w:r>
              <w:rPr>
                <w:rFonts w:ascii="宋体" w:eastAsia="宋体" w:hAnsi="宋体" w:cs="宋体"/>
                <w:b w:val="0"/>
                <w:i w:val="0"/>
                <w:color w:val="000000"/>
                <w:sz w:val="28"/>
              </w:rPr>
              <w:t xml:space="preserve">99.31</w:t>
            </w:r>
          </w:p>
        </w:tc>
        <w:tc>
          <w:tcPr>
            <w:tcW w:w="2478" w:type="dxa"/>
            <w:tcBorders/>
            <w:vAlign w:val="center"/>
          </w:tcPr>
          <w:p>
            <w:pPr>
              <w:jc w:val="right"/>
            </w:pPr>
            <w:r>
              <w:rPr>
                <w:rFonts w:ascii="宋体" w:eastAsia="宋体" w:hAnsi="宋体" w:cs="宋体"/>
                <w:b w:val="0"/>
                <w:i w:val="0"/>
                <w:color w:val="000000"/>
                <w:sz w:val="28"/>
              </w:rPr>
              <w:t xml:space="preserve">0.00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22102</w:t>
            </w:r>
          </w:p>
        </w:tc>
        <w:tc>
          <w:tcPr>
            <w:tcW w:w="5360" w:type="dxa"/>
            <w:tcBorders/>
            <w:vAlign w:val="center"/>
          </w:tcPr>
          <w:p>
            <w:pPr>
              <w:jc w:val="left"/>
            </w:pPr>
            <w:r>
              <w:rPr>
                <w:rFonts w:ascii="宋体" w:eastAsia="宋体" w:hAnsi="宋体" w:cs="宋体"/>
                <w:b w:val="0"/>
                <w:i w:val="0"/>
                <w:color w:val="000000"/>
                <w:sz w:val="28"/>
              </w:rPr>
              <w:t xml:space="preserve">住房改革支出</w:t>
            </w:r>
          </w:p>
        </w:tc>
        <w:tc>
          <w:tcPr>
            <w:tcW w:w="2460" w:type="dxa"/>
            <w:tcBorders/>
            <w:vAlign w:val="center"/>
          </w:tcPr>
          <w:p>
            <w:pPr>
              <w:jc w:val="right"/>
            </w:pPr>
            <w:r>
              <w:rPr>
                <w:rFonts w:ascii="宋体" w:eastAsia="宋体" w:hAnsi="宋体" w:cs="宋体"/>
                <w:b w:val="0"/>
                <w:i w:val="0"/>
                <w:color w:val="000000"/>
                <w:sz w:val="28"/>
              </w:rPr>
              <w:t xml:space="preserve">99.31</w:t>
            </w:r>
          </w:p>
        </w:tc>
        <w:tc>
          <w:tcPr>
            <w:tcW w:w="2460" w:type="dxa"/>
            <w:tcBorders/>
            <w:vAlign w:val="center"/>
          </w:tcPr>
          <w:p>
            <w:pPr>
              <w:jc w:val="right"/>
            </w:pPr>
            <w:r>
              <w:rPr>
                <w:rFonts w:ascii="宋体" w:eastAsia="宋体" w:hAnsi="宋体" w:cs="宋体"/>
                <w:b w:val="0"/>
                <w:i w:val="0"/>
                <w:color w:val="000000"/>
                <w:sz w:val="28"/>
              </w:rPr>
              <w:t xml:space="preserve">99.31</w:t>
            </w:r>
          </w:p>
        </w:tc>
        <w:tc>
          <w:tcPr>
            <w:tcW w:w="2478" w:type="dxa"/>
            <w:tcBorders/>
            <w:vAlign w:val="center"/>
          </w:tcPr>
          <w:p>
            <w:pPr>
              <w:jc w:val="right"/>
            </w:pPr>
            <w:r>
              <w:rPr>
                <w:rFonts w:ascii="宋体" w:eastAsia="宋体" w:hAnsi="宋体" w:cs="宋体"/>
                <w:b w:val="0"/>
                <w:i w:val="0"/>
                <w:color w:val="000000"/>
                <w:sz w:val="28"/>
              </w:rPr>
              <w:t xml:space="preserve">0.00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2210201</w:t>
            </w:r>
          </w:p>
        </w:tc>
        <w:tc>
          <w:tcPr>
            <w:tcW w:w="5360" w:type="dxa"/>
            <w:tcBorders/>
            <w:vAlign w:val="center"/>
          </w:tcPr>
          <w:p>
            <w:pPr>
              <w:jc w:val="left"/>
            </w:pPr>
            <w:r>
              <w:rPr>
                <w:rFonts w:ascii="宋体" w:eastAsia="宋体" w:hAnsi="宋体" w:cs="宋体"/>
                <w:b w:val="0"/>
                <w:i w:val="0"/>
                <w:color w:val="000000"/>
                <w:sz w:val="28"/>
              </w:rPr>
              <w:t xml:space="preserve">住房公积金</w:t>
            </w:r>
          </w:p>
        </w:tc>
        <w:tc>
          <w:tcPr>
            <w:tcW w:w="2460" w:type="dxa"/>
            <w:tcBorders/>
            <w:vAlign w:val="center"/>
          </w:tcPr>
          <w:p>
            <w:pPr>
              <w:jc w:val="right"/>
            </w:pPr>
            <w:r>
              <w:rPr>
                <w:rFonts w:ascii="宋体" w:eastAsia="宋体" w:hAnsi="宋体" w:cs="宋体"/>
                <w:b w:val="0"/>
                <w:i w:val="0"/>
                <w:color w:val="000000"/>
                <w:sz w:val="28"/>
              </w:rPr>
              <w:t xml:space="preserve">99.31</w:t>
            </w:r>
          </w:p>
        </w:tc>
        <w:tc>
          <w:tcPr>
            <w:tcW w:w="2460" w:type="dxa"/>
            <w:tcBorders/>
            <w:vAlign w:val="center"/>
          </w:tcPr>
          <w:p>
            <w:pPr>
              <w:jc w:val="right"/>
            </w:pPr>
            <w:r>
              <w:rPr>
                <w:rFonts w:ascii="宋体" w:eastAsia="宋体" w:hAnsi="宋体" w:cs="宋体"/>
                <w:b w:val="0"/>
                <w:i w:val="0"/>
                <w:color w:val="000000"/>
                <w:sz w:val="28"/>
              </w:rPr>
              <w:t xml:space="preserve">99.31</w:t>
            </w:r>
          </w:p>
        </w:tc>
        <w:tc>
          <w:tcPr>
            <w:tcW w:w="2478" w:type="dxa"/>
            <w:tcBorders/>
            <w:vAlign w:val="center"/>
          </w:tcPr>
          <w:p>
            <w:pPr>
              <w:jc w:val="right"/>
            </w:pPr>
            <w:r>
              <w:rPr>
                <w:rFonts w:ascii="宋体" w:eastAsia="宋体" w:hAnsi="宋体" w:cs="宋体"/>
                <w:b w:val="0"/>
                <w:i w:val="0"/>
                <w:color w:val="000000"/>
                <w:sz w:val="28"/>
              </w:rPr>
              <w:t xml:space="preserve">0.00</w:t>
            </w:r>
          </w:p>
        </w:tc>
      </w:tr>
      <w:tr>
        <w:trPr>
          <w:trHeight w:hRule="exact" w:val="614"/>
          <w:jc w:val="center"/>
        </w:trPr>
        <w:tc>
          <w:tcPr>
            <w:tcW w:w="1395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6"/>
              </w:rPr>
              <w:t xml:space="preserve">注：本表反映本年度一般公共预算财政拨款支出情况。</w:t>
            </w:r>
          </w:p>
        </w:tc>
      </w:tr>
    </w:tbl>
    <w:p>
      <w:pPr>
        <w:snapToGrid w:val="0"/>
        <w:spacing w:before="0" w:after="0" w:line="0"/>
      </w:pPr>
      <w:r>
        <w:rPr>
          <w:sz w:val="8"/>
        </w:rPr>
        <w:t xml:space="preserve"> </w:t>
      </w:r>
    </w:p>
    <w:p>
      <w:pPr>
        <w:rPr>
          <w:rFonts w:ascii="华文中宋" w:eastAsia="华文中宋" w:hAnsi="华文中宋" w:cs="华文中宋" w:hint="eastAsia"/>
          <w:color w:val="000000"/>
          <w:kern w:val="0"/>
          <w:sz w:val="32"/>
          <w:szCs w:val="32"/>
          <w:highlight w:val="none"/>
          <w:lang w:val="en-US" w:eastAsia="zh-CN"/>
        </w:rPr>
      </w:pPr>
      <w:r>
        <w:br w:type="page"/>
      </w:r>
    </w:p>
    <w:p>
      <w:pPr>
        <w:pStyle w:val="Heading2"/>
        <w:bidi w:val="0"/>
        <w:jc w:val="center"/>
        <w:rPr>
          <w:rFonts w:ascii="楷体" w:eastAsia="楷体" w:hAnsi="楷体" w:cs="楷体" w:hint="eastAsia"/>
          <w:b w:val="0"/>
          <w:bCs/>
          <w:lang w:val="en-US" w:eastAsia="zh-CN"/>
        </w:rPr>
      </w:pPr>
      <w:bookmarkStart w:id="22" w:name="_Toc23418"/>
      <w:bookmarkStart w:id="23" w:name="_Toc_1_2_0000000043"/>
      <w:r>
        <w:rPr>
          <w:rFonts w:ascii="楷体" w:eastAsia="楷体" w:hAnsi="楷体" w:cs="楷体" w:hint="eastAsia"/>
          <w:b w:val="0"/>
          <w:bCs/>
          <w:lang w:val="en-US" w:eastAsia="zh-CN"/>
        </w:rPr>
        <w:t xml:space="preserve">2023年度一般公共预算财政拨款基本支出决算明细表</w:t>
      </w:r>
      <w:bookmarkEnd w:id="22"/>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公开08表</w:t>
            </w:r>
          </w:p>
        </w:tc>
      </w:tr>
      <w:tr>
        <w:trPr>
          <w:trHeight w:hRule="auto" w:val="0"/>
          <w:jc w:val="center"/>
        </w:trPr>
        <w:tc>
          <w:tcPr>
            <w:tcW w:w="5979" w:type="dxa"/>
            <w:tcBorders/>
          </w:tcPr>
          <w:p>
            <w:pPr>
              <w:jc w:val="left"/>
            </w:pPr>
            <w:r>
              <w:rPr>
                <w:rFonts w:ascii="宋体" w:eastAsia="宋体" w:hAnsi="宋体" w:cs="宋体"/>
                <w:sz w:val="20"/>
              </w:rPr>
              <w:t xml:space="preserve">单位：衢州市财政国库支付中心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0"/>
          <w:jc w:val="center"/>
        </w:trPr>
        <w:tc>
          <w:tcPr>
            <w:tcW w:w="4600" w:type="dxa"/>
            <w:gridSpan w:val="3"/>
            <w:vAlign w:val="center"/>
          </w:tcPr>
          <w:p>
            <w:pPr>
              <w:jc w:val="center"/>
            </w:pPr>
            <w:r>
              <w:rPr>
                <w:rFonts w:ascii="宋体" w:eastAsia="宋体" w:hAnsi="宋体" w:cs="宋体"/>
                <w:b w:val="0"/>
                <w:i w:val="0"/>
                <w:color w:val="000000"/>
                <w:sz w:val="16"/>
              </w:rPr>
              <w:t xml:space="preserve">人员经费</w:t>
            </w:r>
          </w:p>
        </w:tc>
        <w:tc>
          <w:tcPr>
            <w:tcW w:w="9358" w:type="dxa"/>
            <w:gridSpan w:val="6"/>
            <w:vAlign w:val="center"/>
          </w:tcPr>
          <w:p>
            <w:pPr>
              <w:jc w:val="center"/>
            </w:pPr>
            <w:r>
              <w:rPr>
                <w:rFonts w:ascii="宋体" w:eastAsia="宋体" w:hAnsi="宋体" w:cs="宋体"/>
                <w:b w:val="0"/>
                <w:i w:val="0"/>
                <w:color w:val="000000"/>
                <w:sz w:val="16"/>
              </w:rPr>
              <w:t xml:space="preserve">公用经费</w:t>
            </w:r>
          </w:p>
        </w:tc>
      </w:tr>
      <w:tr>
        <w:trPr>
          <w:trHeight w:hRule="exact" w:val="340"/>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0"/>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1,055.11</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91.55</w:t>
            </w:r>
          </w:p>
        </w:tc>
        <w:tc>
          <w:tcPr>
            <w:tcW w:w="560" w:type="dxa"/>
            <w:tcBorders/>
            <w:vAlign w:val="center"/>
          </w:tcPr>
          <w:p>
            <w:pPr>
              <w:jc w:val="left"/>
            </w:pPr>
            <w:r>
              <w:rPr>
                <w:rFonts w:ascii="宋体" w:eastAsia="宋体" w:hAnsi="宋体" w:cs="宋体"/>
                <w:b w:val="0"/>
                <w:i w:val="0"/>
                <w:color w:val="000000"/>
                <w:sz w:val="16"/>
              </w:rPr>
              <w:t xml:space="preserve">30703</w:t>
            </w:r>
          </w:p>
        </w:tc>
        <w:tc>
          <w:tcPr>
            <w:tcW w:w="3420" w:type="dxa"/>
            <w:tcBorders/>
            <w:vAlign w:val="center"/>
          </w:tcPr>
          <w:p>
            <w:pPr>
              <w:jc w:val="left"/>
            </w:pPr>
            <w:r>
              <w:rPr>
                <w:rFonts w:ascii="宋体" w:eastAsia="宋体" w:hAnsi="宋体" w:cs="宋体"/>
                <w:b w:val="0"/>
                <w:i w:val="0"/>
                <w:color w:val="000000"/>
                <w:sz w:val="16"/>
              </w:rPr>
              <w:t xml:space="preserve">  国内债务发行费用</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128.73</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3.76</w:t>
            </w:r>
          </w:p>
        </w:tc>
        <w:tc>
          <w:tcPr>
            <w:tcW w:w="560" w:type="dxa"/>
            <w:tcBorders/>
            <w:vAlign w:val="center"/>
          </w:tcPr>
          <w:p>
            <w:pPr>
              <w:jc w:val="left"/>
            </w:pPr>
            <w:r>
              <w:rPr>
                <w:rFonts w:ascii="宋体" w:eastAsia="宋体" w:hAnsi="宋体" w:cs="宋体"/>
                <w:b w:val="0"/>
                <w:i w:val="0"/>
                <w:color w:val="000000"/>
                <w:sz w:val="16"/>
              </w:rPr>
              <w:t xml:space="preserve">30704</w:t>
            </w:r>
          </w:p>
        </w:tc>
        <w:tc>
          <w:tcPr>
            <w:tcW w:w="3420" w:type="dxa"/>
            <w:tcBorders/>
            <w:vAlign w:val="center"/>
          </w:tcPr>
          <w:p>
            <w:pPr>
              <w:jc w:val="left"/>
            </w:pPr>
            <w:r>
              <w:rPr>
                <w:rFonts w:ascii="宋体" w:eastAsia="宋体" w:hAnsi="宋体" w:cs="宋体"/>
                <w:b w:val="0"/>
                <w:i w:val="0"/>
                <w:color w:val="000000"/>
                <w:sz w:val="16"/>
              </w:rPr>
              <w:t xml:space="preserve">  国外债务发行费用</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147.23</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0.25</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282.09</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74.54</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37.27</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5.57</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70.93</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19.34</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2.48</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4.98</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99.31</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4.91</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0.08</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188.27</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2.36</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19.69</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14.13</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312</w:t>
            </w:r>
          </w:p>
        </w:tc>
        <w:tc>
          <w:tcPr>
            <w:tcW w:w="3420" w:type="dxa"/>
            <w:tcBorders/>
            <w:vAlign w:val="center"/>
          </w:tcPr>
          <w:p>
            <w:pPr>
              <w:jc w:val="left"/>
            </w:pPr>
            <w:r>
              <w:rPr>
                <w:rFonts w:ascii="宋体" w:eastAsia="宋体" w:hAnsi="宋体" w:cs="宋体"/>
                <w:b w:val="0"/>
                <w:i w:val="0"/>
                <w:color w:val="000000"/>
                <w:sz w:val="16"/>
              </w:rPr>
              <w:t xml:space="preserve">对企业补助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2.82</w:t>
            </w:r>
          </w:p>
        </w:tc>
        <w:tc>
          <w:tcPr>
            <w:tcW w:w="560" w:type="dxa"/>
            <w:tcBorders/>
            <w:vAlign w:val="center"/>
          </w:tcPr>
          <w:p>
            <w:pPr>
              <w:jc w:val="left"/>
            </w:pPr>
            <w:r>
              <w:rPr>
                <w:rFonts w:ascii="宋体" w:eastAsia="宋体" w:hAnsi="宋体" w:cs="宋体"/>
                <w:b w:val="0"/>
                <w:i w:val="0"/>
                <w:color w:val="000000"/>
                <w:sz w:val="16"/>
              </w:rPr>
              <w:t xml:space="preserve">31201</w:t>
            </w:r>
          </w:p>
        </w:tc>
        <w:tc>
          <w:tcPr>
            <w:tcW w:w="3420" w:type="dxa"/>
            <w:tcBorders/>
            <w:vAlign w:val="center"/>
          </w:tcPr>
          <w:p>
            <w:pPr>
              <w:jc w:val="left"/>
            </w:pPr>
            <w:r>
              <w:rPr>
                <w:rFonts w:ascii="宋体" w:eastAsia="宋体" w:hAnsi="宋体" w:cs="宋体"/>
                <w:b w:val="0"/>
                <w:i w:val="0"/>
                <w:color w:val="000000"/>
                <w:sz w:val="16"/>
              </w:rPr>
              <w:t xml:space="preserve">  资本金注入</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0.43</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31203</w:t>
            </w:r>
          </w:p>
        </w:tc>
        <w:tc>
          <w:tcPr>
            <w:tcW w:w="3420" w:type="dxa"/>
            <w:tcBorders/>
            <w:vAlign w:val="center"/>
          </w:tcPr>
          <w:p>
            <w:pPr>
              <w:jc w:val="left"/>
            </w:pPr>
            <w:r>
              <w:rPr>
                <w:rFonts w:ascii="宋体" w:eastAsia="宋体" w:hAnsi="宋体" w:cs="宋体"/>
                <w:b w:val="0"/>
                <w:i w:val="0"/>
                <w:color w:val="000000"/>
                <w:sz w:val="16"/>
              </w:rPr>
              <w:t xml:space="preserve">  政府投资基金股权投资</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11.79</w:t>
            </w:r>
          </w:p>
        </w:tc>
        <w:tc>
          <w:tcPr>
            <w:tcW w:w="560" w:type="dxa"/>
            <w:tcBorders/>
            <w:vAlign w:val="center"/>
          </w:tcPr>
          <w:p>
            <w:pPr>
              <w:jc w:val="left"/>
            </w:pPr>
            <w:r>
              <w:rPr>
                <w:rFonts w:ascii="宋体" w:eastAsia="宋体" w:hAnsi="宋体" w:cs="宋体"/>
                <w:b w:val="0"/>
                <w:i w:val="0"/>
                <w:color w:val="000000"/>
                <w:sz w:val="16"/>
              </w:rPr>
              <w:t xml:space="preserve">31204</w:t>
            </w:r>
          </w:p>
        </w:tc>
        <w:tc>
          <w:tcPr>
            <w:tcW w:w="3420" w:type="dxa"/>
            <w:tcBorders/>
            <w:vAlign w:val="center"/>
          </w:tcPr>
          <w:p>
            <w:pPr>
              <w:jc w:val="left"/>
            </w:pPr>
            <w:r>
              <w:rPr>
                <w:rFonts w:ascii="宋体" w:eastAsia="宋体" w:hAnsi="宋体" w:cs="宋体"/>
                <w:b w:val="0"/>
                <w:i w:val="0"/>
                <w:color w:val="000000"/>
                <w:sz w:val="16"/>
              </w:rPr>
              <w:t xml:space="preserve">  费用补贴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1.21</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34.87</w:t>
            </w:r>
          </w:p>
        </w:tc>
        <w:tc>
          <w:tcPr>
            <w:tcW w:w="560" w:type="dxa"/>
            <w:tcBorders/>
            <w:vAlign w:val="center"/>
          </w:tcPr>
          <w:p>
            <w:pPr>
              <w:jc w:val="left"/>
            </w:pPr>
            <w:r>
              <w:rPr>
                <w:rFonts w:ascii="宋体" w:eastAsia="宋体" w:hAnsi="宋体" w:cs="宋体"/>
                <w:b w:val="0"/>
                <w:i w:val="0"/>
                <w:color w:val="000000"/>
                <w:sz w:val="16"/>
              </w:rPr>
              <w:t xml:space="preserve">31205</w:t>
            </w:r>
          </w:p>
        </w:tc>
        <w:tc>
          <w:tcPr>
            <w:tcW w:w="3420" w:type="dxa"/>
            <w:tcBorders/>
            <w:vAlign w:val="center"/>
          </w:tcPr>
          <w:p>
            <w:pPr>
              <w:jc w:val="left"/>
            </w:pPr>
            <w:r>
              <w:rPr>
                <w:rFonts w:ascii="宋体" w:eastAsia="宋体" w:hAnsi="宋体" w:cs="宋体"/>
                <w:b w:val="0"/>
                <w:i w:val="0"/>
                <w:color w:val="000000"/>
                <w:sz w:val="16"/>
              </w:rPr>
              <w:t xml:space="preserve">  利息补贴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31299</w:t>
            </w:r>
          </w:p>
        </w:tc>
        <w:tc>
          <w:tcPr>
            <w:tcW w:w="3420" w:type="dxa"/>
            <w:tcBorders/>
            <w:vAlign w:val="center"/>
          </w:tcPr>
          <w:p>
            <w:pPr>
              <w:jc w:val="left"/>
            </w:pPr>
            <w:r>
              <w:rPr>
                <w:rFonts w:ascii="宋体" w:eastAsia="宋体" w:hAnsi="宋体" w:cs="宋体"/>
                <w:b w:val="0"/>
                <w:i w:val="0"/>
                <w:color w:val="000000"/>
                <w:sz w:val="16"/>
              </w:rPr>
              <w:t xml:space="preserve">  其他对企业补助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23.10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3.92</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1.97</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307</w:t>
            </w:r>
          </w:p>
        </w:tc>
        <w:tc>
          <w:tcPr>
            <w:tcW w:w="2100" w:type="dxa"/>
            <w:tcBorders/>
            <w:vAlign w:val="center"/>
          </w:tcPr>
          <w:p>
            <w:pPr>
              <w:jc w:val="left"/>
            </w:pPr>
            <w:r>
              <w:rPr>
                <w:rFonts w:ascii="宋体" w:eastAsia="宋体" w:hAnsi="宋体" w:cs="宋体"/>
                <w:b w:val="0"/>
                <w:i w:val="0"/>
                <w:color w:val="000000"/>
                <w:sz w:val="16"/>
              </w:rPr>
              <w:t xml:space="preserve">债务利息及费用支出</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30701</w:t>
            </w:r>
          </w:p>
        </w:tc>
        <w:tc>
          <w:tcPr>
            <w:tcW w:w="2100" w:type="dxa"/>
            <w:tcBorders/>
            <w:vAlign w:val="center"/>
          </w:tcPr>
          <w:p>
            <w:pPr>
              <w:jc w:val="left"/>
            </w:pPr>
            <w:r>
              <w:rPr>
                <w:rFonts w:ascii="宋体" w:eastAsia="宋体" w:hAnsi="宋体" w:cs="宋体"/>
                <w:b w:val="0"/>
                <w:i w:val="0"/>
                <w:color w:val="000000"/>
                <w:sz w:val="16"/>
              </w:rPr>
              <w:t xml:space="preserve">  国内债务付息</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30702</w:t>
            </w:r>
          </w:p>
        </w:tc>
        <w:tc>
          <w:tcPr>
            <w:tcW w:w="2100" w:type="dxa"/>
            <w:tcBorders/>
            <w:vAlign w:val="center"/>
          </w:tcPr>
          <w:p>
            <w:pPr>
              <w:jc w:val="left"/>
            </w:pPr>
            <w:r>
              <w:rPr>
                <w:rFonts w:ascii="宋体" w:eastAsia="宋体" w:hAnsi="宋体" w:cs="宋体"/>
                <w:b w:val="0"/>
                <w:i w:val="0"/>
                <w:color w:val="000000"/>
                <w:sz w:val="16"/>
              </w:rPr>
              <w:t xml:space="preserve">  国外债务付息</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p>
        </w:tc>
        <w:tc>
          <w:tcPr>
            <w:tcW w:w="2100" w:type="dxa"/>
            <w:tcBorders/>
            <w:vAlign w:val="center"/>
          </w:tcPr>
          <w:p>
            <w:pPr/>
          </w:p>
        </w:tc>
        <w:tc>
          <w:tcPr>
            <w:tcW w:w="1360" w:type="dxa"/>
            <w:tcBorders/>
            <w:vAlign w:val="center"/>
          </w:tcPr>
          <w:p>
            <w:pP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0"/>
          <w:jc w:val="center"/>
        </w:trPr>
        <w:tc>
          <w:tcPr>
            <w:tcW w:w="3240" w:type="dxa"/>
            <w:gridSpan w:val="2"/>
            <w:tcBorders/>
            <w:vAlign w:val="center"/>
          </w:tcPr>
          <w:p>
            <w:pPr>
              <w:jc w:val="center"/>
            </w:pPr>
            <w:r>
              <w:rPr>
                <w:rFonts w:ascii="宋体" w:eastAsia="宋体" w:hAnsi="宋体" w:cs="宋体"/>
                <w:b w:val="0"/>
                <w:i w:val="0"/>
                <w:color w:val="000000"/>
                <w:sz w:val="16"/>
              </w:rPr>
              <w:t xml:space="preserve">人员经费合计</w:t>
            </w:r>
          </w:p>
        </w:tc>
        <w:tc>
          <w:tcPr>
            <w:tcW w:w="1360" w:type="dxa"/>
            <w:tcBorders/>
            <w:vAlign w:val="center"/>
          </w:tcPr>
          <w:p>
            <w:pPr>
              <w:jc w:val="right"/>
            </w:pPr>
            <w:r>
              <w:rPr>
                <w:rFonts w:ascii="宋体" w:eastAsia="宋体" w:hAnsi="宋体" w:cs="宋体"/>
                <w:b w:val="0"/>
                <w:i w:val="0"/>
                <w:color w:val="000000"/>
                <w:sz w:val="16"/>
              </w:rPr>
              <w:t xml:space="preserve">1,074.80</w:t>
            </w:r>
          </w:p>
        </w:tc>
        <w:tc>
          <w:tcPr>
            <w:tcW w:w="8000" w:type="dxa"/>
            <w:gridSpan w:val="5"/>
            <w:tcBorders/>
            <w:vAlign w:val="center"/>
          </w:tcPr>
          <w:p>
            <w:pPr>
              <w:jc w:val="center"/>
            </w:pPr>
            <w:r>
              <w:rPr>
                <w:rFonts w:ascii="宋体" w:eastAsia="宋体" w:hAnsi="宋体" w:cs="宋体"/>
                <w:b w:val="0"/>
                <w:i w:val="0"/>
                <w:color w:val="000000"/>
                <w:sz w:val="16"/>
              </w:rPr>
              <w:t xml:space="preserve">公用经费合计</w:t>
            </w:r>
          </w:p>
        </w:tc>
        <w:tc>
          <w:tcPr>
            <w:tcW w:w="1358" w:type="dxa"/>
            <w:tcBorders/>
            <w:vAlign w:val="center"/>
          </w:tcPr>
          <w:p>
            <w:pPr>
              <w:jc w:val="right"/>
            </w:pPr>
            <w:r>
              <w:rPr>
                <w:rFonts w:ascii="宋体" w:eastAsia="宋体" w:hAnsi="宋体" w:cs="宋体"/>
                <w:b w:val="0"/>
                <w:i w:val="0"/>
                <w:color w:val="000000"/>
                <w:sz w:val="16"/>
              </w:rPr>
              <w:t xml:space="preserve">91.55</w:t>
            </w:r>
          </w:p>
        </w:tc>
      </w:tr>
      <w:tr>
        <w:trPr>
          <w:trHeight w:hRule="exact" w:val="340"/>
          <w:jc w:val="center"/>
        </w:trPr>
        <w:tc>
          <w:tcPr>
            <w:tcW w:w="1395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注：本表反映本年度一般公共预算财政拨款基本支出明细情况。</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highlight w:val="none"/>
          <w:lang w:val="en-US" w:eastAsia="zh-CN"/>
        </w:rPr>
        <w:sectPr>
          <w:pgSz w:w="16838" w:h="11906" w:orient="landscape"/>
          <w:pgMar w:top="1134" w:right="1440" w:bottom="1134" w:left="1440" w:header="720" w:footer="720" w:gutter="0"/>
          <w:pgBorders/>
          <w:pgNumType w:fmt="decimal"/>
          <w:cols w:num="1" w:space="425">
            <w:col w:w="13958" w:space="425"/>
          </w:cols>
          <w:docGrid w:type="lines" w:linePitch="312" w:charSpace="0"/>
        </w:sectPr>
      </w:pPr>
    </w:p>
    <w:p>
      <w:pPr>
        <w:pStyle w:val="Heading2"/>
        <w:bidi w:val="0"/>
        <w:jc w:val="center"/>
        <w:rPr>
          <w:rFonts w:ascii="楷体" w:eastAsia="楷体" w:hAnsi="楷体" w:cs="楷体" w:hint="eastAsia"/>
          <w:b w:val="0"/>
          <w:bCs/>
          <w:lang w:val="en-US" w:eastAsia="zh-CN"/>
        </w:rPr>
      </w:pPr>
      <w:bookmarkStart w:id="24" w:name="_Toc13251"/>
      <w:bookmarkStart w:id="25" w:name="_Toc_1_2_0000000044"/>
      <w:r>
        <w:rPr>
          <w:rFonts w:ascii="楷体" w:eastAsia="楷体" w:hAnsi="楷体" w:cs="楷体" w:hint="eastAsia"/>
          <w:b w:val="0"/>
          <w:bCs/>
          <w:lang w:val="en-US" w:eastAsia="zh-CN"/>
        </w:rPr>
        <w:t xml:space="preserve">2023年度政府性基金预算财政拨款收入支出决算表</w:t>
      </w:r>
      <w:bookmarkEnd w:id="24"/>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公开09表</w:t>
            </w:r>
          </w:p>
        </w:tc>
      </w:tr>
      <w:tr>
        <w:trPr>
          <w:trHeight w:hRule="auto" w:val="0"/>
          <w:jc w:val="center"/>
        </w:trPr>
        <w:tc>
          <w:tcPr>
            <w:tcW w:w="5979" w:type="dxa"/>
            <w:tcBorders/>
          </w:tcPr>
          <w:p>
            <w:pPr>
              <w:jc w:val="left"/>
            </w:pPr>
            <w:r>
              <w:rPr>
                <w:rFonts w:ascii="宋体" w:eastAsia="宋体" w:hAnsi="宋体" w:cs="宋体"/>
                <w:sz w:val="20"/>
              </w:rPr>
              <w:t xml:space="preserve">单位：衢州市财政国库支付中心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4380" w:type="dxa"/>
            <w:gridSpan w:val="4"/>
            <w:vAlign w:val="center"/>
          </w:tcPr>
          <w:p>
            <w:pPr>
              <w:jc w:val="center"/>
            </w:pPr>
            <w:r>
              <w:rPr>
                <w:rFonts w:ascii="宋体" w:eastAsia="宋体" w:hAnsi="宋体" w:cs="宋体"/>
                <w:b w:val="0"/>
                <w:i w:val="0"/>
                <w:color w:val="000000"/>
                <w:sz w:val="19"/>
              </w:rPr>
              <w:t xml:space="preserve">项   目</w:t>
            </w:r>
          </w:p>
        </w:tc>
        <w:tc>
          <w:tcPr>
            <w:tcW w:w="1600" w:type="dxa"/>
            <w:vMerge w:val="restart"/>
            <w:vAlign w:val="center"/>
          </w:tcPr>
          <w:p>
            <w:pPr>
              <w:jc w:val="center"/>
            </w:pPr>
            <w:r>
              <w:rPr>
                <w:rFonts w:ascii="宋体" w:eastAsia="宋体" w:hAnsi="宋体" w:cs="宋体"/>
                <w:b w:val="0"/>
                <w:i w:val="0"/>
                <w:color w:val="000000"/>
                <w:sz w:val="19"/>
              </w:rPr>
              <w:t xml:space="preserve">年初结转和结余</w:t>
            </w:r>
          </w:p>
        </w:tc>
        <w:tc>
          <w:tcPr>
            <w:tcW w:w="1600" w:type="dxa"/>
            <w:vMerge w:val="restart"/>
            <w:vAlign w:val="center"/>
          </w:tcPr>
          <w:p>
            <w:pPr>
              <w:jc w:val="center"/>
            </w:pPr>
            <w:r>
              <w:rPr>
                <w:rFonts w:ascii="宋体" w:eastAsia="宋体" w:hAnsi="宋体" w:cs="宋体"/>
                <w:b w:val="0"/>
                <w:i w:val="0"/>
                <w:color w:val="000000"/>
                <w:sz w:val="19"/>
              </w:rPr>
              <w:t xml:space="preserve">本年收入</w:t>
            </w:r>
          </w:p>
        </w:tc>
        <w:tc>
          <w:tcPr>
            <w:tcW w:w="4800" w:type="dxa"/>
            <w:gridSpan w:val="3"/>
            <w:vAlign w:val="center"/>
          </w:tcPr>
          <w:p>
            <w:pPr>
              <w:jc w:val="center"/>
            </w:pPr>
            <w:r>
              <w:rPr>
                <w:rFonts w:ascii="宋体" w:eastAsia="宋体" w:hAnsi="宋体" w:cs="宋体"/>
                <w:b w:val="0"/>
                <w:i w:val="0"/>
                <w:color w:val="000000"/>
                <w:sz w:val="19"/>
              </w:rPr>
              <w:t xml:space="preserve">本年支出</w:t>
            </w:r>
          </w:p>
        </w:tc>
        <w:tc>
          <w:tcPr>
            <w:tcW w:w="1578" w:type="dxa"/>
            <w:vMerge w:val="restart"/>
            <w:vAlign w:val="center"/>
          </w:tcPr>
          <w:p>
            <w:pPr>
              <w:jc w:val="center"/>
            </w:pPr>
            <w:r>
              <w:rPr>
                <w:rFonts w:ascii="宋体" w:eastAsia="宋体" w:hAnsi="宋体" w:cs="宋体"/>
                <w:b w:val="0"/>
                <w:i w:val="0"/>
                <w:color w:val="000000"/>
                <w:sz w:val="19"/>
              </w:rPr>
              <w:t xml:space="preserve">年末结转和结余</w:t>
            </w:r>
          </w:p>
        </w:tc>
      </w:tr>
      <w:tr>
        <w:trPr>
          <w:trHeight w:hRule="exact" w:val="400"/>
          <w:jc w:val="center"/>
        </w:trPr>
        <w:tc>
          <w:tcPr>
            <w:tcW w:w="900" w:type="dxa"/>
            <w:gridSpan w:val="3"/>
            <w:vMerge w:val="restart"/>
            <w:tcBorders/>
            <w:vAlign w:val="center"/>
          </w:tcPr>
          <w:p>
            <w:pPr>
              <w:jc w:val="center"/>
            </w:pPr>
            <w:r>
              <w:rPr>
                <w:rFonts w:ascii="宋体" w:eastAsia="宋体" w:hAnsi="宋体" w:cs="宋体"/>
                <w:b w:val="0"/>
                <w:i w:val="0"/>
                <w:color w:val="000000"/>
                <w:sz w:val="19"/>
              </w:rPr>
              <w:t xml:space="preserve">支出功能分类科目编码</w:t>
            </w: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val="restart"/>
            <w:tcBorders/>
            <w:vAlign w:val="center"/>
          </w:tcPr>
          <w:p>
            <w:pPr>
              <w:jc w:val="center"/>
            </w:pPr>
            <w:r>
              <w:rPr>
                <w:rFonts w:ascii="宋体" w:eastAsia="宋体" w:hAnsi="宋体" w:cs="宋体"/>
                <w:b w:val="0"/>
                <w:i w:val="0"/>
                <w:color w:val="000000"/>
                <w:sz w:val="19"/>
              </w:rPr>
              <w:t xml:space="preserve">小计</w:t>
            </w:r>
          </w:p>
        </w:tc>
        <w:tc>
          <w:tcPr>
            <w:tcW w:w="1600" w:type="dxa"/>
            <w:vMerge w:val="restart"/>
            <w:tcBorders/>
            <w:vAlign w:val="center"/>
          </w:tcPr>
          <w:p>
            <w:pPr>
              <w:jc w:val="center"/>
            </w:pPr>
            <w:r>
              <w:rPr>
                <w:rFonts w:ascii="宋体" w:eastAsia="宋体" w:hAnsi="宋体" w:cs="宋体"/>
                <w:b w:val="0"/>
                <w:i w:val="0"/>
                <w:color w:val="000000"/>
                <w:sz w:val="19"/>
              </w:rPr>
              <w:t xml:space="preserve">基本支出</w:t>
            </w:r>
          </w:p>
        </w:tc>
        <w:tc>
          <w:tcPr>
            <w:tcW w:w="1600" w:type="dxa"/>
            <w:vMerge w:val="restart"/>
            <w:tcBorders/>
            <w:vAlign w:val="center"/>
          </w:tcPr>
          <w:p>
            <w:pPr>
              <w:jc w:val="center"/>
            </w:pPr>
            <w:r>
              <w:rPr>
                <w:rFonts w:ascii="宋体" w:eastAsia="宋体" w:hAnsi="宋体" w:cs="宋体"/>
                <w:b w:val="0"/>
                <w:i w:val="0"/>
                <w:color w:val="000000"/>
                <w:sz w:val="19"/>
              </w:rPr>
              <w:t xml:space="preserve">项目支出</w:t>
            </w:r>
          </w:p>
        </w:tc>
        <w:tc>
          <w:tcPr>
            <w:tcW w:w="1578" w:type="dxa"/>
            <w:vMerge/>
            <w:tcBorders/>
            <w:vAlign w:val="center"/>
          </w:tcPr>
          <w:p>
            <w:pPr/>
          </w:p>
        </w:tc>
      </w:tr>
      <w:tr>
        <w:trPr>
          <w:trHeight w:hRule="exact" w:val="400"/>
          <w:jc w:val="center"/>
        </w:trPr>
        <w:tc>
          <w:tcPr>
            <w:tcW w:w="900" w:type="dxa"/>
            <w:gridSpan w:val="3"/>
            <w:v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900" w:type="dxa"/>
            <w:gridSpan w:val="3"/>
            <w:v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vMerge w:val="restart"/>
            <w:tcBorders/>
            <w:vAlign w:val="center"/>
          </w:tcPr>
          <w:p>
            <w:pPr>
              <w:jc w:val="center"/>
            </w:pPr>
            <w:r>
              <w:rPr>
                <w:rFonts w:ascii="宋体" w:eastAsia="宋体" w:hAnsi="宋体" w:cs="宋体"/>
                <w:b w:val="0"/>
                <w:i w:val="0"/>
                <w:color w:val="000000"/>
                <w:sz w:val="19"/>
              </w:rPr>
              <w:t xml:space="preserve">类</w:t>
            </w:r>
          </w:p>
        </w:tc>
        <w:tc>
          <w:tcPr>
            <w:tcW w:w="300" w:type="dxa"/>
            <w:vMerge w:val="restart"/>
            <w:tcBorders/>
            <w:vAlign w:val="center"/>
          </w:tcPr>
          <w:p>
            <w:pPr>
              <w:jc w:val="center"/>
            </w:pPr>
            <w:r>
              <w:rPr>
                <w:rFonts w:ascii="宋体" w:eastAsia="宋体" w:hAnsi="宋体" w:cs="宋体"/>
                <w:b w:val="0"/>
                <w:i w:val="0"/>
                <w:color w:val="000000"/>
                <w:sz w:val="19"/>
              </w:rPr>
              <w:t xml:space="preserve">款</w:t>
            </w:r>
          </w:p>
        </w:tc>
        <w:tc>
          <w:tcPr>
            <w:tcW w:w="300" w:type="dxa"/>
            <w:vMerge w:val="restart"/>
            <w:tcBorders/>
            <w:vAlign w:val="center"/>
          </w:tcPr>
          <w:p>
            <w:pPr>
              <w:jc w:val="center"/>
            </w:pPr>
            <w:r>
              <w:rPr>
                <w:rFonts w:ascii="宋体" w:eastAsia="宋体" w:hAnsi="宋体" w:cs="宋体"/>
                <w:b w:val="0"/>
                <w:i w:val="0"/>
                <w:color w:val="000000"/>
                <w:sz w:val="19"/>
              </w:rPr>
              <w:t xml:space="preserve">项</w:t>
            </w:r>
          </w:p>
        </w:tc>
        <w:tc>
          <w:tcPr>
            <w:tcW w:w="3480" w:type="dxa"/>
            <w:tcBorders/>
            <w:vAlign w:val="center"/>
          </w:tcPr>
          <w:p>
            <w:pPr>
              <w:jc w:val="center"/>
            </w:pPr>
            <w:r>
              <w:rPr>
                <w:rFonts w:ascii="宋体" w:eastAsia="宋体" w:hAnsi="宋体" w:cs="宋体"/>
                <w:b w:val="0"/>
                <w:i w:val="0"/>
                <w:color w:val="000000"/>
                <w:sz w:val="19"/>
              </w:rPr>
              <w:t xml:space="preserve">栏   次</w:t>
            </w:r>
          </w:p>
        </w:tc>
        <w:tc>
          <w:tcPr>
            <w:tcW w:w="1600" w:type="dxa"/>
            <w:tcBorders/>
            <w:vAlign w:val="center"/>
          </w:tcPr>
          <w:p>
            <w:pPr>
              <w:jc w:val="center"/>
            </w:pPr>
            <w:r>
              <w:rPr>
                <w:rFonts w:ascii="宋体" w:eastAsia="宋体" w:hAnsi="宋体" w:cs="宋体"/>
                <w:b w:val="0"/>
                <w:i w:val="0"/>
                <w:color w:val="000000"/>
                <w:sz w:val="17"/>
              </w:rPr>
              <w:t xml:space="preserve">1</w:t>
            </w:r>
          </w:p>
        </w:tc>
        <w:tc>
          <w:tcPr>
            <w:tcW w:w="1600" w:type="dxa"/>
            <w:tcBorders/>
            <w:vAlign w:val="center"/>
          </w:tcPr>
          <w:p>
            <w:pPr>
              <w:jc w:val="center"/>
            </w:pPr>
            <w:r>
              <w:rPr>
                <w:rFonts w:ascii="宋体" w:eastAsia="宋体" w:hAnsi="宋体" w:cs="宋体"/>
                <w:b w:val="0"/>
                <w:i w:val="0"/>
                <w:color w:val="000000"/>
                <w:sz w:val="17"/>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vMerge/>
            <w:tcBorders/>
            <w:vAlign w:val="center"/>
          </w:tcPr>
          <w:p>
            <w:pPr/>
          </w:p>
        </w:tc>
        <w:tc>
          <w:tcPr>
            <w:tcW w:w="300" w:type="dxa"/>
            <w:vMerge/>
            <w:tcBorders/>
            <w:vAlign w:val="center"/>
          </w:tcPr>
          <w:p>
            <w:pPr/>
          </w:p>
        </w:tc>
        <w:tc>
          <w:tcPr>
            <w:tcW w:w="300" w:type="dxa"/>
            <w:vMerge/>
            <w:tcBorders/>
            <w:vAlign w:val="center"/>
          </w:tcPr>
          <w:p>
            <w:pPr/>
          </w:p>
        </w:tc>
        <w:tc>
          <w:tcPr>
            <w:tcW w:w="3480" w:type="dxa"/>
            <w:tcBorders/>
            <w:vAlign w:val="center"/>
          </w:tcPr>
          <w:p>
            <w:pPr>
              <w:jc w:val="center"/>
            </w:pPr>
            <w:r>
              <w:rPr>
                <w:rFonts w:ascii="宋体" w:eastAsia="宋体" w:hAnsi="宋体" w:cs="宋体"/>
                <w:b w:val="0"/>
                <w:i w:val="0"/>
                <w:color w:val="000000"/>
                <w:sz w:val="19"/>
              </w:rPr>
              <w:t xml:space="preserve">合计</w:t>
            </w:r>
          </w:p>
        </w:tc>
        <w:tc>
          <w:tcPr>
            <w:tcW w:w="1600" w:type="dxa"/>
            <w:tcBorders/>
            <w:vAlign w:val="center"/>
          </w:tcPr>
          <w:p>
            <w:pPr/>
          </w:p>
        </w:tc>
        <w:tc>
          <w:tcPr>
            <w:tcW w:w="1600" w:type="dxa"/>
            <w:tcBorders/>
            <w:vAlign w:val="center"/>
          </w:tcPr>
          <w:p>
            <w:pPr/>
          </w:p>
        </w:tc>
        <w:tc>
          <w:tcPr>
            <w:tcW w:w="1600" w:type="dxa"/>
            <w:tcBorders/>
            <w:vAlign w:val="center"/>
          </w:tcPr>
          <w:p>
            <w:pPr/>
          </w:p>
        </w:tc>
        <w:tc>
          <w:tcPr>
            <w:tcW w:w="1600" w:type="dxa"/>
            <w:tcBorders/>
            <w:vAlign w:val="center"/>
          </w:tcPr>
          <w:p>
            <w:pPr/>
          </w:p>
        </w:tc>
        <w:tc>
          <w:tcPr>
            <w:tcW w:w="1600" w:type="dxa"/>
            <w:tcBorders/>
            <w:vAlign w:val="center"/>
          </w:tcPr>
          <w:p>
            <w:pPr/>
          </w:p>
        </w:tc>
        <w:tc>
          <w:tcPr>
            <w:tcW w:w="1578" w:type="dxa"/>
            <w:tcBorders/>
            <w:vAlign w:val="center"/>
          </w:tcPr>
          <w:p>
            <w:pPr/>
          </w:p>
        </w:tc>
      </w:tr>
      <w:tr>
        <w:trPr>
          <w:trHeight w:hRule="exact" w:val="400"/>
          <w:jc w:val="center"/>
        </w:trPr>
        <w:tc>
          <w:tcPr>
            <w:tcW w:w="900" w:type="dxa"/>
            <w:gridSpan w:val="3"/>
            <w:tcBorders/>
            <w:vAlign w:val="center"/>
          </w:tcPr>
          <w:p>
            <w:pPr/>
          </w:p>
        </w:tc>
        <w:tc>
          <w:tcPr>
            <w:tcW w:w="3480" w:type="dxa"/>
            <w:tcBorders/>
            <w:vAlign w:val="center"/>
          </w:tcPr>
          <w:p>
            <w:pPr/>
          </w:p>
        </w:tc>
        <w:tc>
          <w:tcPr>
            <w:tcW w:w="1600" w:type="dxa"/>
            <w:tcBorders/>
            <w:vAlign w:val="center"/>
          </w:tcPr>
          <w:p>
            <w:pPr/>
          </w:p>
        </w:tc>
        <w:tc>
          <w:tcPr>
            <w:tcW w:w="1600" w:type="dxa"/>
            <w:tcBorders/>
            <w:vAlign w:val="center"/>
          </w:tcPr>
          <w:p>
            <w:pPr/>
          </w:p>
        </w:tc>
        <w:tc>
          <w:tcPr>
            <w:tcW w:w="1600" w:type="dxa"/>
            <w:tcBorders/>
            <w:vAlign w:val="center"/>
          </w:tcPr>
          <w:p>
            <w:pPr/>
          </w:p>
        </w:tc>
        <w:tc>
          <w:tcPr>
            <w:tcW w:w="1600" w:type="dxa"/>
            <w:tcBorders/>
            <w:vAlign w:val="center"/>
          </w:tcPr>
          <w:p>
            <w:pPr/>
          </w:p>
        </w:tc>
        <w:tc>
          <w:tcPr>
            <w:tcW w:w="1600" w:type="dxa"/>
            <w:tcBorders/>
            <w:vAlign w:val="center"/>
          </w:tcPr>
          <w:p>
            <w:pPr/>
          </w:p>
        </w:tc>
        <w:tc>
          <w:tcPr>
            <w:tcW w:w="1578" w:type="dxa"/>
            <w:tcBorders/>
            <w:vAlign w:val="center"/>
          </w:tcPr>
          <w:p>
            <w:pPr/>
          </w:p>
        </w:tc>
      </w:tr>
      <w:tr>
        <w:trPr>
          <w:trHeight w:hRule="exact" w:val="400"/>
          <w:jc w:val="center"/>
        </w:trPr>
        <w:tc>
          <w:tcPr>
            <w:tcW w:w="1395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7"/>
              </w:rPr>
              <w:t xml:space="preserve">注：本表反映本年度政府性基金预算财政拨款收入、支出及结转和结余情况。</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highlight w:val="none"/>
          <w:lang w:val="en-US" w:eastAsia="zh-CN"/>
        </w:rPr>
        <w:sectPr>
          <w:pgSz w:w="16838" w:h="11906" w:orient="landscape"/>
          <w:pgMar w:top="1134" w:right="1440" w:bottom="1134" w:left="1440" w:header="720" w:footer="720" w:gutter="0"/>
          <w:pgBorders/>
          <w:pgNumType w:fmt="decimal"/>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highlight w:val="none"/>
        </w:rPr>
        <w:t xml:space="preserve">说明：本单位没有政府性基金收入，也没有使用政府性基金安排的支出，故本表无数据。</w:t>
      </w:r>
    </w:p>
    <w:p>
      <w:pPr>
        <w:pStyle w:val="Heading2"/>
        <w:bidi w:val="0"/>
        <w:jc w:val="center"/>
        <w:rPr>
          <w:rFonts w:ascii="楷体" w:eastAsia="楷体" w:hAnsi="楷体" w:cs="楷体" w:hint="eastAsia"/>
          <w:b w:val="0"/>
          <w:bCs/>
          <w:lang w:val="en-US" w:eastAsia="zh-CN"/>
        </w:rPr>
      </w:pPr>
      <w:bookmarkStart w:id="26" w:name="_Toc28221"/>
      <w:bookmarkStart w:id="27" w:name="_Toc_1_2_0000000045"/>
      <w:r>
        <w:rPr>
          <w:rFonts w:ascii="楷体" w:eastAsia="楷体" w:hAnsi="楷体" w:cs="楷体" w:hint="eastAsia"/>
          <w:b w:val="0"/>
          <w:bCs/>
          <w:lang w:val="en-US" w:eastAsia="zh-CN"/>
        </w:rPr>
        <w:t xml:space="preserve">2023年度国有资本经营预算财政拨款支出决算表</w:t>
      </w:r>
      <w:bookmarkEnd w:id="26"/>
      <w:bookmarkEnd w:id="2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公开10表</w:t>
            </w:r>
          </w:p>
        </w:tc>
      </w:tr>
      <w:tr>
        <w:trPr>
          <w:trHeight w:hRule="auto" w:val="0"/>
          <w:jc w:val="center"/>
        </w:trPr>
        <w:tc>
          <w:tcPr>
            <w:tcW w:w="5979" w:type="dxa"/>
            <w:tcBorders/>
          </w:tcPr>
          <w:p>
            <w:pPr>
              <w:jc w:val="left"/>
            </w:pPr>
            <w:r>
              <w:rPr>
                <w:rFonts w:ascii="宋体" w:eastAsia="宋体" w:hAnsi="宋体" w:cs="宋体"/>
                <w:sz w:val="20"/>
              </w:rPr>
              <w:t xml:space="preserve">单位：衢州市财政国库支付中心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5360"/>
        <w:gridCol w:w="2460"/>
        <w:gridCol w:w="2460"/>
        <w:gridCol w:w="2478"/>
      </w:tblGrid>
      <w:tr>
        <w:trPr>
          <w:trHeight w:hRule="exact" w:val="614"/>
          <w:jc w:val="center"/>
        </w:trPr>
        <w:tc>
          <w:tcPr>
            <w:tcW w:w="6560" w:type="dxa"/>
            <w:gridSpan w:val="4"/>
            <w:vAlign w:val="center"/>
          </w:tcPr>
          <w:p>
            <w:pPr>
              <w:jc w:val="center"/>
            </w:pPr>
            <w:r>
              <w:rPr>
                <w:rFonts w:ascii="宋体" w:eastAsia="宋体" w:hAnsi="宋体" w:cs="宋体"/>
                <w:b w:val="0"/>
                <w:i w:val="0"/>
                <w:color w:val="000000"/>
                <w:sz w:val="28"/>
              </w:rPr>
              <w:t xml:space="preserve">项   目</w:t>
            </w:r>
          </w:p>
        </w:tc>
        <w:tc>
          <w:tcPr>
            <w:tcW w:w="7398" w:type="dxa"/>
            <w:gridSpan w:val="3"/>
            <w:vAlign w:val="center"/>
          </w:tcPr>
          <w:p>
            <w:pPr>
              <w:jc w:val="center"/>
            </w:pPr>
            <w:r>
              <w:rPr>
                <w:rFonts w:ascii="宋体" w:eastAsia="宋体" w:hAnsi="宋体" w:cs="宋体"/>
                <w:b w:val="0"/>
                <w:i w:val="0"/>
                <w:color w:val="000000"/>
                <w:sz w:val="28"/>
              </w:rPr>
              <w:t xml:space="preserve">本年支出</w:t>
            </w:r>
          </w:p>
        </w:tc>
      </w:tr>
      <w:tr>
        <w:trPr>
          <w:trHeight w:hRule="exact" w:val="614"/>
          <w:jc w:val="center"/>
        </w:trPr>
        <w:tc>
          <w:tcPr>
            <w:tcW w:w="1200" w:type="dxa"/>
            <w:gridSpan w:val="3"/>
            <w:vMerge w:val="restart"/>
            <w:tcBorders/>
            <w:vAlign w:val="center"/>
          </w:tcPr>
          <w:p>
            <w:pPr>
              <w:jc w:val="center"/>
            </w:pPr>
            <w:r>
              <w:rPr>
                <w:rFonts w:ascii="宋体" w:eastAsia="宋体" w:hAnsi="宋体" w:cs="宋体"/>
                <w:b w:val="0"/>
                <w:i w:val="0"/>
                <w:color w:val="000000"/>
                <w:sz w:val="28"/>
              </w:rPr>
              <w:t xml:space="preserve">支出功能分类科目编码</w:t>
            </w:r>
          </w:p>
        </w:tc>
        <w:tc>
          <w:tcPr>
            <w:tcW w:w="5360" w:type="dxa"/>
            <w:vMerge w:val="restart"/>
            <w:tcBorders/>
            <w:vAlign w:val="center"/>
          </w:tcPr>
          <w:p>
            <w:pPr>
              <w:jc w:val="center"/>
            </w:pPr>
            <w:r>
              <w:rPr>
                <w:rFonts w:ascii="宋体" w:eastAsia="宋体" w:hAnsi="宋体" w:cs="宋体"/>
                <w:b w:val="0"/>
                <w:i w:val="0"/>
                <w:color w:val="000000"/>
                <w:sz w:val="28"/>
              </w:rPr>
              <w:t xml:space="preserve">科目名称</w:t>
            </w:r>
          </w:p>
        </w:tc>
        <w:tc>
          <w:tcPr>
            <w:tcW w:w="2460" w:type="dxa"/>
            <w:vMerge w:val="restart"/>
            <w:tcBorders/>
            <w:vAlign w:val="center"/>
          </w:tcPr>
          <w:p>
            <w:pPr>
              <w:jc w:val="center"/>
            </w:pPr>
            <w:r>
              <w:rPr>
                <w:rFonts w:ascii="宋体" w:eastAsia="宋体" w:hAnsi="宋体" w:cs="宋体"/>
                <w:b w:val="0"/>
                <w:i w:val="0"/>
                <w:color w:val="000000"/>
                <w:sz w:val="28"/>
              </w:rPr>
              <w:t xml:space="preserve">小计</w:t>
            </w:r>
          </w:p>
        </w:tc>
        <w:tc>
          <w:tcPr>
            <w:tcW w:w="2460" w:type="dxa"/>
            <w:vMerge w:val="restart"/>
            <w:tcBorders/>
            <w:vAlign w:val="center"/>
          </w:tcPr>
          <w:p>
            <w:pPr>
              <w:jc w:val="center"/>
            </w:pPr>
            <w:r>
              <w:rPr>
                <w:rFonts w:ascii="宋体" w:eastAsia="宋体" w:hAnsi="宋体" w:cs="宋体"/>
                <w:b w:val="0"/>
                <w:i w:val="0"/>
                <w:color w:val="000000"/>
                <w:sz w:val="28"/>
              </w:rPr>
              <w:t xml:space="preserve">基本支出</w:t>
            </w:r>
          </w:p>
        </w:tc>
        <w:tc>
          <w:tcPr>
            <w:tcW w:w="247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14"/>
          <w:jc w:val="center"/>
        </w:trPr>
        <w:tc>
          <w:tcPr>
            <w:tcW w:w="1200" w:type="dxa"/>
            <w:gridSpan w:val="3"/>
            <w:vMerge/>
            <w:tcBorders/>
            <w:vAlign w:val="center"/>
          </w:tcPr>
          <w:p>
            <w:pPr/>
          </w:p>
        </w:tc>
        <w:tc>
          <w:tcPr>
            <w:tcW w:w="5360" w:type="dxa"/>
            <w:vMerge/>
            <w:tcBorders/>
            <w:vAlign w:val="center"/>
          </w:tcPr>
          <w:p>
            <w:pPr/>
          </w:p>
        </w:tc>
        <w:tc>
          <w:tcPr>
            <w:tcW w:w="2460" w:type="dxa"/>
            <w:vMerge/>
            <w:tcBorders/>
            <w:vAlign w:val="center"/>
          </w:tcPr>
          <w:p>
            <w:pPr/>
          </w:p>
        </w:tc>
        <w:tc>
          <w:tcPr>
            <w:tcW w:w="2460" w:type="dxa"/>
            <w:vMerge/>
            <w:tcBorders/>
            <w:vAlign w:val="center"/>
          </w:tcPr>
          <w:p>
            <w:pPr/>
          </w:p>
        </w:tc>
        <w:tc>
          <w:tcPr>
            <w:tcW w:w="2478" w:type="dxa"/>
            <w:vMerge/>
            <w:tcBorders/>
            <w:vAlign w:val="center"/>
          </w:tcPr>
          <w:p>
            <w:pPr/>
          </w:p>
        </w:tc>
      </w:tr>
      <w:tr>
        <w:trPr>
          <w:trHeight w:hRule="exact" w:val="614"/>
          <w:jc w:val="center"/>
        </w:trPr>
        <w:tc>
          <w:tcPr>
            <w:tcW w:w="1200" w:type="dxa"/>
            <w:gridSpan w:val="3"/>
            <w:vMerge/>
            <w:tcBorders/>
            <w:vAlign w:val="center"/>
          </w:tcPr>
          <w:p>
            <w:pPr/>
          </w:p>
        </w:tc>
        <w:tc>
          <w:tcPr>
            <w:tcW w:w="5360" w:type="dxa"/>
            <w:vMerge/>
            <w:tcBorders/>
            <w:vAlign w:val="center"/>
          </w:tcPr>
          <w:p>
            <w:pPr/>
          </w:p>
        </w:tc>
        <w:tc>
          <w:tcPr>
            <w:tcW w:w="2460" w:type="dxa"/>
            <w:vMerge/>
            <w:tcBorders/>
            <w:vAlign w:val="center"/>
          </w:tcPr>
          <w:p>
            <w:pPr/>
          </w:p>
        </w:tc>
        <w:tc>
          <w:tcPr>
            <w:tcW w:w="2460" w:type="dxa"/>
            <w:vMerge/>
            <w:tcBorders/>
            <w:vAlign w:val="center"/>
          </w:tcPr>
          <w:p>
            <w:pPr/>
          </w:p>
        </w:tc>
        <w:tc>
          <w:tcPr>
            <w:tcW w:w="2478" w:type="dxa"/>
            <w:vMerge/>
            <w:tcBorders/>
            <w:vAlign w:val="center"/>
          </w:tcPr>
          <w:p>
            <w:pPr/>
          </w:p>
        </w:tc>
      </w:tr>
      <w:tr>
        <w:trPr>
          <w:trHeight w:hRule="exact" w:val="614"/>
          <w:jc w:val="center"/>
        </w:trPr>
        <w:tc>
          <w:tcPr>
            <w:tcW w:w="400" w:type="dxa"/>
            <w:vMerge w:val="restart"/>
            <w:tcBorders/>
            <w:vAlign w:val="center"/>
          </w:tcPr>
          <w:p>
            <w:pPr>
              <w:jc w:val="center"/>
            </w:pPr>
            <w:r>
              <w:rPr>
                <w:rFonts w:ascii="宋体" w:eastAsia="宋体" w:hAnsi="宋体" w:cs="宋体"/>
                <w:b w:val="0"/>
                <w:i w:val="0"/>
                <w:color w:val="000000"/>
                <w:sz w:val="28"/>
              </w:rPr>
              <w:t xml:space="preserve">类</w:t>
            </w:r>
          </w:p>
        </w:tc>
        <w:tc>
          <w:tcPr>
            <w:tcW w:w="400" w:type="dxa"/>
            <w:vMerge w:val="restart"/>
            <w:tcBorders/>
            <w:vAlign w:val="center"/>
          </w:tcPr>
          <w:p>
            <w:pPr>
              <w:jc w:val="center"/>
            </w:pPr>
            <w:r>
              <w:rPr>
                <w:rFonts w:ascii="宋体" w:eastAsia="宋体" w:hAnsi="宋体" w:cs="宋体"/>
                <w:b w:val="0"/>
                <w:i w:val="0"/>
                <w:color w:val="000000"/>
                <w:sz w:val="28"/>
              </w:rPr>
              <w:t xml:space="preserve">款</w:t>
            </w:r>
          </w:p>
        </w:tc>
        <w:tc>
          <w:tcPr>
            <w:tcW w:w="400" w:type="dxa"/>
            <w:vMerge w:val="restart"/>
            <w:tcBorders/>
            <w:vAlign w:val="center"/>
          </w:tcPr>
          <w:p>
            <w:pPr>
              <w:jc w:val="center"/>
            </w:pPr>
            <w:r>
              <w:rPr>
                <w:rFonts w:ascii="宋体" w:eastAsia="宋体" w:hAnsi="宋体" w:cs="宋体"/>
                <w:b w:val="0"/>
                <w:i w:val="0"/>
                <w:color w:val="000000"/>
                <w:sz w:val="28"/>
              </w:rPr>
              <w:t xml:space="preserve">项</w:t>
            </w:r>
          </w:p>
        </w:tc>
        <w:tc>
          <w:tcPr>
            <w:tcW w:w="5360" w:type="dxa"/>
            <w:tcBorders/>
            <w:vAlign w:val="center"/>
          </w:tcPr>
          <w:p>
            <w:pPr>
              <w:jc w:val="center"/>
            </w:pPr>
            <w:r>
              <w:rPr>
                <w:rFonts w:ascii="宋体" w:eastAsia="宋体" w:hAnsi="宋体" w:cs="宋体"/>
                <w:b w:val="0"/>
                <w:i w:val="0"/>
                <w:color w:val="000000"/>
                <w:sz w:val="28"/>
              </w:rPr>
              <w:t xml:space="preserve">栏   次</w:t>
            </w:r>
          </w:p>
        </w:tc>
        <w:tc>
          <w:tcPr>
            <w:tcW w:w="2460" w:type="dxa"/>
            <w:tcBorders/>
            <w:vAlign w:val="center"/>
          </w:tcPr>
          <w:p>
            <w:pPr>
              <w:jc w:val="center"/>
            </w:pPr>
            <w:r>
              <w:rPr>
                <w:rFonts w:ascii="宋体" w:eastAsia="宋体" w:hAnsi="宋体" w:cs="宋体"/>
                <w:b w:val="0"/>
                <w:i w:val="0"/>
                <w:color w:val="000000"/>
                <w:sz w:val="28"/>
              </w:rPr>
              <w:t xml:space="preserve">1</w:t>
            </w:r>
          </w:p>
        </w:tc>
        <w:tc>
          <w:tcPr>
            <w:tcW w:w="2460" w:type="dxa"/>
            <w:tcBorders/>
            <w:vAlign w:val="center"/>
          </w:tcPr>
          <w:p>
            <w:pPr>
              <w:jc w:val="center"/>
            </w:pPr>
            <w:r>
              <w:rPr>
                <w:rFonts w:ascii="宋体" w:eastAsia="宋体" w:hAnsi="宋体" w:cs="宋体"/>
                <w:b w:val="0"/>
                <w:i w:val="0"/>
                <w:color w:val="000000"/>
                <w:sz w:val="28"/>
              </w:rPr>
              <w:t xml:space="preserve">2</w:t>
            </w:r>
          </w:p>
        </w:tc>
        <w:tc>
          <w:tcPr>
            <w:tcW w:w="2478" w:type="dxa"/>
            <w:tcBorders/>
            <w:vAlign w:val="center"/>
          </w:tcPr>
          <w:p>
            <w:pPr>
              <w:jc w:val="center"/>
            </w:pPr>
            <w:r>
              <w:rPr>
                <w:rFonts w:ascii="宋体" w:eastAsia="宋体" w:hAnsi="宋体" w:cs="宋体"/>
                <w:b w:val="0"/>
                <w:i w:val="0"/>
                <w:color w:val="000000"/>
                <w:sz w:val="28"/>
              </w:rPr>
              <w:t xml:space="preserve">3</w:t>
            </w:r>
          </w:p>
        </w:tc>
      </w:tr>
      <w:tr>
        <w:trPr>
          <w:trHeight w:hRule="exact" w:val="614"/>
          <w:jc w:val="center"/>
        </w:trPr>
        <w:tc>
          <w:tcPr>
            <w:tcW w:w="400" w:type="dxa"/>
            <w:vMerge/>
            <w:tcBorders/>
            <w:vAlign w:val="center"/>
          </w:tcPr>
          <w:p>
            <w:pPr/>
          </w:p>
        </w:tc>
        <w:tc>
          <w:tcPr>
            <w:tcW w:w="400" w:type="dxa"/>
            <w:vMerge/>
            <w:tcBorders/>
            <w:vAlign w:val="center"/>
          </w:tcPr>
          <w:p>
            <w:pPr/>
          </w:p>
        </w:tc>
        <w:tc>
          <w:tcPr>
            <w:tcW w:w="400" w:type="dxa"/>
            <w:vMerge/>
            <w:tcBorders/>
            <w:vAlign w:val="center"/>
          </w:tcPr>
          <w:p>
            <w:pPr/>
          </w:p>
        </w:tc>
        <w:tc>
          <w:tcPr>
            <w:tcW w:w="5360" w:type="dxa"/>
            <w:tcBorders/>
            <w:vAlign w:val="center"/>
          </w:tcPr>
          <w:p>
            <w:pPr>
              <w:jc w:val="center"/>
            </w:pPr>
            <w:r>
              <w:rPr>
                <w:rFonts w:ascii="宋体" w:eastAsia="宋体" w:hAnsi="宋体" w:cs="宋体"/>
                <w:b w:val="0"/>
                <w:i w:val="0"/>
                <w:color w:val="000000"/>
                <w:sz w:val="28"/>
              </w:rPr>
              <w:t xml:space="preserve">合计</w:t>
            </w:r>
          </w:p>
        </w:tc>
        <w:tc>
          <w:tcPr>
            <w:tcW w:w="2460" w:type="dxa"/>
            <w:tcBorders/>
            <w:vAlign w:val="center"/>
          </w:tcPr>
          <w:p>
            <w:pPr/>
          </w:p>
        </w:tc>
        <w:tc>
          <w:tcPr>
            <w:tcW w:w="2460" w:type="dxa"/>
            <w:tcBorders/>
            <w:vAlign w:val="center"/>
          </w:tcPr>
          <w:p>
            <w:pPr/>
          </w:p>
        </w:tc>
        <w:tc>
          <w:tcPr>
            <w:tcW w:w="2478" w:type="dxa"/>
            <w:tcBorders/>
            <w:vAlign w:val="center"/>
          </w:tcPr>
          <w:p>
            <w:pPr/>
          </w:p>
        </w:tc>
      </w:tr>
      <w:tr>
        <w:trPr>
          <w:trHeight w:hRule="exact" w:val="614"/>
          <w:jc w:val="center"/>
        </w:trPr>
        <w:tc>
          <w:tcPr>
            <w:tcW w:w="1200" w:type="dxa"/>
            <w:gridSpan w:val="3"/>
            <w:tcBorders/>
            <w:vAlign w:val="center"/>
          </w:tcPr>
          <w:p>
            <w:pPr/>
          </w:p>
        </w:tc>
        <w:tc>
          <w:tcPr>
            <w:tcW w:w="5360" w:type="dxa"/>
            <w:tcBorders/>
            <w:vAlign w:val="center"/>
          </w:tcPr>
          <w:p>
            <w:pPr/>
          </w:p>
        </w:tc>
        <w:tc>
          <w:tcPr>
            <w:tcW w:w="2460" w:type="dxa"/>
            <w:tcBorders/>
            <w:vAlign w:val="center"/>
          </w:tcPr>
          <w:p>
            <w:pPr/>
          </w:p>
        </w:tc>
        <w:tc>
          <w:tcPr>
            <w:tcW w:w="2460" w:type="dxa"/>
            <w:tcBorders/>
            <w:vAlign w:val="center"/>
          </w:tcPr>
          <w:p>
            <w:pPr/>
          </w:p>
        </w:tc>
        <w:tc>
          <w:tcPr>
            <w:tcW w:w="2478" w:type="dxa"/>
            <w:tcBorders/>
            <w:vAlign w:val="center"/>
          </w:tcPr>
          <w:p>
            <w:pPr/>
          </w:p>
        </w:tc>
      </w:tr>
      <w:tr>
        <w:trPr>
          <w:trHeight w:hRule="exact" w:val="614"/>
          <w:jc w:val="center"/>
        </w:trPr>
        <w:tc>
          <w:tcPr>
            <w:tcW w:w="1395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6"/>
              </w:rPr>
              <w:t xml:space="preserve">注：本表反映本年度国有资本经营预算财政拨款支出情况。</w:t>
            </w:r>
          </w:p>
        </w:tc>
      </w:tr>
    </w:tbl>
    <w:p>
      <w:pPr>
        <w:snapToGrid w:val="0"/>
        <w:spacing w:before="0" w:after="0" w:line="0"/>
      </w:pPr>
      <w:r>
        <w:rPr>
          <w:sz w:val="8"/>
        </w:rPr>
        <w:t xml:space="preserve"> </w:t>
      </w:r>
    </w:p>
    <w:p>
      <w:pPr>
        <w:jc w:val="left"/>
        <w:rPr>
          <w:rFonts w:hint="eastAsia"/>
          <w:sz w:val="21"/>
          <w:szCs w:val="21"/>
          <w:highlight w:val="none"/>
          <w:lang w:val="en-US" w:eastAsia="zh-CN"/>
        </w:rPr>
      </w:pPr>
      <w:r>
        <w:rPr>
          <w:rFonts w:ascii="宋体" w:eastAsia="宋体" w:hAnsi="宋体" w:asciiTheme="minorEastAsia" w:eastAsiaTheme="minorEastAsia" w:hAnsiTheme="minorEastAsia" w:cs="Arial" w:cstheme="minorEastAsia" w:hint="eastAsia"/>
          <w:sz w:val="18"/>
          <w:szCs w:val="18"/>
          <w:highlight w:val="none"/>
          <w:lang w:val="en-US" w:eastAsia="zh-CN"/>
        </w:rPr>
        <w:t xml:space="preserve">说明：本单位没有国有资本经营收入，也没有使用国有资本经营安排的支出，故本表无数据。</w:t>
      </w:r>
    </w:p>
    <w:p>
      <w:pPr>
        <w:jc w:val="left"/>
        <w:rPr>
          <w:rFonts w:hint="eastAsia"/>
          <w:sz w:val="21"/>
          <w:szCs w:val="21"/>
          <w:highlight w:val="none"/>
          <w:lang w:val="en-US" w:eastAsia="zh-CN"/>
        </w:rPr>
      </w:pPr>
    </w:p>
    <w:p>
      <w:pPr>
        <w:jc w:val="left"/>
        <w:rPr>
          <w:rFonts w:hint="eastAsia"/>
          <w:sz w:val="21"/>
          <w:szCs w:val="21"/>
          <w:highlight w:val="none"/>
          <w:lang w:val="en-US" w:eastAsia="zh-CN"/>
        </w:rPr>
        <w:sectPr>
          <w:pgSz w:w="16838" w:h="11906" w:orient="landscape"/>
          <w:pgMar w:top="1134" w:right="1440" w:bottom="1134" w:left="1440" w:header="720" w:footer="720" w:gutter="0"/>
          <w:pgBorders/>
          <w:pgNumType w:fmt="decimal"/>
          <w:cols w:num="1" w:space="425">
            <w:col w:w="13958" w:space="425"/>
          </w:cols>
          <w:docGrid w:type="lines" w:linePitch="312" w:charSpace="0"/>
        </w:sectPr>
      </w:pPr>
    </w:p>
    <w:p>
      <w:pPr>
        <w:pStyle w:val="Heading2"/>
        <w:bidi w:val="0"/>
        <w:jc w:val="center"/>
        <w:rPr>
          <w:rFonts w:ascii="楷体" w:eastAsia="楷体" w:hAnsi="楷体" w:cs="楷体" w:hint="eastAsia"/>
          <w:b w:val="0"/>
          <w:bCs/>
          <w:lang w:val="en-US" w:eastAsia="zh-CN"/>
        </w:rPr>
      </w:pPr>
      <w:bookmarkStart w:id="28" w:name="_Toc10945"/>
      <w:bookmarkStart w:id="29" w:name="_Toc_1_2_0000000046"/>
      <w:r>
        <w:rPr>
          <w:rFonts w:ascii="楷体" w:eastAsia="楷体" w:hAnsi="楷体" w:cs="楷体" w:hint="eastAsia"/>
          <w:b w:val="0"/>
          <w:bCs/>
          <w:lang w:val="en-US" w:eastAsia="zh-CN"/>
        </w:rPr>
        <w:t xml:space="preserve">2023年度财政拨款“三公”经费支出决算表</w:t>
      </w:r>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公开11表</w:t>
            </w:r>
          </w:p>
        </w:tc>
      </w:tr>
      <w:tr>
        <w:trPr>
          <w:trHeight w:hRule="auto" w:val="0"/>
          <w:jc w:val="center"/>
        </w:trPr>
        <w:tc>
          <w:tcPr>
            <w:tcW w:w="5979" w:type="dxa"/>
            <w:tcBorders/>
          </w:tcPr>
          <w:p>
            <w:pPr>
              <w:jc w:val="left"/>
            </w:pPr>
            <w:r>
              <w:rPr>
                <w:rFonts w:ascii="宋体" w:eastAsia="宋体" w:hAnsi="宋体" w:cs="宋体"/>
                <w:sz w:val="20"/>
              </w:rPr>
              <w:t xml:space="preserve">单位：衢州市财政国库支付中心</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6560"/>
        <w:gridCol w:w="3700"/>
        <w:gridCol w:w="3698"/>
      </w:tblGrid>
      <w:tr>
        <w:trPr>
          <w:trHeight w:hRule="exact" w:val="701"/>
          <w:jc w:val="center"/>
        </w:trPr>
        <w:tc>
          <w:tcPr>
            <w:tcW w:w="6560" w:type="dxa"/>
            <w:vAlign w:val="center"/>
          </w:tcPr>
          <w:p>
            <w:pPr>
              <w:jc w:val="center"/>
            </w:pPr>
            <w:r>
              <w:rPr>
                <w:rFonts w:ascii="宋体" w:eastAsia="宋体" w:hAnsi="宋体" w:cs="宋体"/>
                <w:b w:val="0"/>
                <w:i w:val="0"/>
                <w:color w:val="000000"/>
                <w:sz w:val="28"/>
              </w:rPr>
              <w:t xml:space="preserve">项   目</w:t>
            </w:r>
          </w:p>
        </w:tc>
        <w:tc>
          <w:tcPr>
            <w:tcW w:w="3700" w:type="dxa"/>
            <w:vAlign w:val="center"/>
          </w:tcPr>
          <w:p>
            <w:pPr>
              <w:jc w:val="center"/>
            </w:pPr>
            <w:r>
              <w:rPr>
                <w:rFonts w:ascii="宋体" w:eastAsia="宋体" w:hAnsi="宋体" w:cs="宋体"/>
                <w:b w:val="0"/>
                <w:i w:val="0"/>
                <w:color w:val="000000"/>
                <w:sz w:val="28"/>
              </w:rPr>
              <w:t xml:space="preserve">预算数</w:t>
            </w:r>
          </w:p>
        </w:tc>
        <w:tc>
          <w:tcPr>
            <w:tcW w:w="3698" w:type="dxa"/>
            <w:vAlign w:val="center"/>
          </w:tcPr>
          <w:p>
            <w:pPr>
              <w:jc w:val="center"/>
            </w:pPr>
            <w:r>
              <w:rPr>
                <w:rFonts w:ascii="宋体" w:eastAsia="宋体" w:hAnsi="宋体" w:cs="宋体"/>
                <w:b w:val="0"/>
                <w:i w:val="0"/>
                <w:color w:val="000000"/>
                <w:sz w:val="28"/>
              </w:rPr>
              <w:t xml:space="preserve">决算数</w:t>
            </w:r>
          </w:p>
        </w:tc>
      </w:tr>
      <w:tr>
        <w:trPr>
          <w:trHeight w:hRule="exact" w:val="701"/>
          <w:jc w:val="center"/>
        </w:trPr>
        <w:tc>
          <w:tcPr>
            <w:tcW w:w="6560" w:type="dxa"/>
            <w:tcBorders/>
            <w:vAlign w:val="center"/>
          </w:tcPr>
          <w:p>
            <w:pPr>
              <w:jc w:val="left"/>
            </w:pPr>
            <w:r>
              <w:rPr>
                <w:rFonts w:ascii="宋体" w:eastAsia="宋体" w:hAnsi="宋体" w:cs="宋体"/>
                <w:b w:val="0"/>
                <w:i w:val="0"/>
                <w:color w:val="000000"/>
                <w:sz w:val="28"/>
              </w:rPr>
              <w:t xml:space="preserve">“三公”经费支出合计</w:t>
            </w:r>
          </w:p>
        </w:tc>
        <w:tc>
          <w:tcPr>
            <w:tcW w:w="3700" w:type="dxa"/>
            <w:tcBorders/>
            <w:vAlign w:val="center"/>
          </w:tcPr>
          <w:p>
            <w:pPr>
              <w:jc w:val="right"/>
            </w:pPr>
            <w:r>
              <w:rPr>
                <w:rFonts w:ascii="宋体" w:eastAsia="宋体" w:hAnsi="宋体" w:cs="宋体"/>
                <w:b w:val="0"/>
                <w:i w:val="0"/>
                <w:color w:val="000000"/>
                <w:sz w:val="28"/>
              </w:rPr>
              <w:t xml:space="preserve">0.00</w:t>
            </w:r>
          </w:p>
        </w:tc>
        <w:tc>
          <w:tcPr>
            <w:tcW w:w="3698" w:type="dxa"/>
            <w:tcBorders/>
            <w:vAlign w:val="center"/>
          </w:tcPr>
          <w:p>
            <w:pPr>
              <w:jc w:val="right"/>
            </w:pPr>
            <w:r>
              <w:rPr>
                <w:rFonts w:ascii="宋体" w:eastAsia="宋体" w:hAnsi="宋体" w:cs="宋体"/>
                <w:b w:val="0"/>
                <w:i w:val="0"/>
                <w:color w:val="000000"/>
                <w:sz w:val="28"/>
              </w:rPr>
              <w:t xml:space="preserve">0.00</w:t>
            </w:r>
          </w:p>
        </w:tc>
      </w:tr>
      <w:tr>
        <w:trPr>
          <w:trHeight w:hRule="exact" w:val="701"/>
          <w:jc w:val="center"/>
        </w:trPr>
        <w:tc>
          <w:tcPr>
            <w:tcW w:w="6560" w:type="dxa"/>
            <w:tcBorders/>
            <w:vAlign w:val="center"/>
          </w:tcPr>
          <w:p>
            <w:pPr>
              <w:jc w:val="left"/>
            </w:pPr>
            <w:r>
              <w:rPr>
                <w:rFonts w:ascii="宋体" w:eastAsia="宋体" w:hAnsi="宋体" w:cs="宋体"/>
                <w:b w:val="0"/>
                <w:i w:val="0"/>
                <w:color w:val="000000"/>
                <w:sz w:val="28"/>
              </w:rPr>
              <w:t xml:space="preserve">  1．因公出国（境）费用</w:t>
            </w:r>
          </w:p>
        </w:tc>
        <w:tc>
          <w:tcPr>
            <w:tcW w:w="3700" w:type="dxa"/>
            <w:tcBorders/>
            <w:vAlign w:val="center"/>
          </w:tcPr>
          <w:p>
            <w:pPr>
              <w:jc w:val="right"/>
            </w:pPr>
            <w:r>
              <w:rPr>
                <w:rFonts w:ascii="宋体" w:eastAsia="宋体" w:hAnsi="宋体" w:cs="宋体"/>
                <w:b w:val="0"/>
                <w:i w:val="0"/>
                <w:color w:val="000000"/>
                <w:sz w:val="28"/>
              </w:rPr>
              <w:t xml:space="preserve">0.00</w:t>
            </w:r>
          </w:p>
        </w:tc>
        <w:tc>
          <w:tcPr>
            <w:tcW w:w="3698" w:type="dxa"/>
            <w:tcBorders/>
            <w:vAlign w:val="center"/>
          </w:tcPr>
          <w:p>
            <w:pPr>
              <w:jc w:val="right"/>
            </w:pPr>
            <w:r>
              <w:rPr>
                <w:rFonts w:ascii="宋体" w:eastAsia="宋体" w:hAnsi="宋体" w:cs="宋体"/>
                <w:b w:val="0"/>
                <w:i w:val="0"/>
                <w:color w:val="000000"/>
                <w:sz w:val="28"/>
              </w:rPr>
              <w:t xml:space="preserve">0.00</w:t>
            </w:r>
          </w:p>
        </w:tc>
      </w:tr>
      <w:tr>
        <w:trPr>
          <w:trHeight w:hRule="exact" w:val="701"/>
          <w:jc w:val="center"/>
        </w:trPr>
        <w:tc>
          <w:tcPr>
            <w:tcW w:w="6560" w:type="dxa"/>
            <w:tcBorders/>
            <w:vAlign w:val="center"/>
          </w:tcPr>
          <w:p>
            <w:pPr>
              <w:jc w:val="left"/>
            </w:pPr>
            <w:r>
              <w:rPr>
                <w:rFonts w:ascii="宋体" w:eastAsia="宋体" w:hAnsi="宋体" w:cs="宋体"/>
                <w:b w:val="0"/>
                <w:i w:val="0"/>
                <w:color w:val="000000"/>
                <w:sz w:val="28"/>
              </w:rPr>
              <w:t xml:space="preserve">  2．公务用车购置及运行维护费小计</w:t>
            </w:r>
          </w:p>
        </w:tc>
        <w:tc>
          <w:tcPr>
            <w:tcW w:w="3700" w:type="dxa"/>
            <w:tcBorders/>
            <w:vAlign w:val="center"/>
          </w:tcPr>
          <w:p>
            <w:pPr>
              <w:jc w:val="right"/>
            </w:pPr>
            <w:r>
              <w:rPr>
                <w:rFonts w:ascii="宋体" w:eastAsia="宋体" w:hAnsi="宋体" w:cs="宋体"/>
                <w:b w:val="0"/>
                <w:i w:val="0"/>
                <w:color w:val="000000"/>
                <w:sz w:val="28"/>
              </w:rPr>
              <w:t xml:space="preserve">0.00</w:t>
            </w:r>
          </w:p>
        </w:tc>
        <w:tc>
          <w:tcPr>
            <w:tcW w:w="3698" w:type="dxa"/>
            <w:tcBorders/>
            <w:vAlign w:val="center"/>
          </w:tcPr>
          <w:p>
            <w:pPr>
              <w:jc w:val="right"/>
            </w:pPr>
            <w:r>
              <w:rPr>
                <w:rFonts w:ascii="宋体" w:eastAsia="宋体" w:hAnsi="宋体" w:cs="宋体"/>
                <w:b w:val="0"/>
                <w:i w:val="0"/>
                <w:color w:val="000000"/>
                <w:sz w:val="28"/>
              </w:rPr>
              <w:t xml:space="preserve">0.00</w:t>
            </w:r>
          </w:p>
        </w:tc>
      </w:tr>
      <w:tr>
        <w:trPr>
          <w:trHeight w:hRule="exact" w:val="701"/>
          <w:jc w:val="center"/>
        </w:trPr>
        <w:tc>
          <w:tcPr>
            <w:tcW w:w="6560" w:type="dxa"/>
            <w:tcBorders/>
            <w:vAlign w:val="center"/>
          </w:tcPr>
          <w:p>
            <w:pPr>
              <w:jc w:val="left"/>
            </w:pPr>
            <w:r>
              <w:rPr>
                <w:rFonts w:ascii="宋体" w:eastAsia="宋体" w:hAnsi="宋体" w:cs="宋体"/>
                <w:b w:val="0"/>
                <w:i w:val="0"/>
                <w:color w:val="000000"/>
                <w:sz w:val="28"/>
              </w:rPr>
              <w:t xml:space="preserve">    （1）公务用车购置费</w:t>
            </w:r>
          </w:p>
        </w:tc>
        <w:tc>
          <w:tcPr>
            <w:tcW w:w="3700" w:type="dxa"/>
            <w:tcBorders/>
            <w:vAlign w:val="center"/>
          </w:tcPr>
          <w:p>
            <w:pPr>
              <w:jc w:val="right"/>
            </w:pPr>
            <w:r>
              <w:rPr>
                <w:rFonts w:ascii="宋体" w:eastAsia="宋体" w:hAnsi="宋体" w:cs="宋体"/>
                <w:b w:val="0"/>
                <w:i w:val="0"/>
                <w:color w:val="000000"/>
                <w:sz w:val="28"/>
              </w:rPr>
              <w:t xml:space="preserve">0.00</w:t>
            </w:r>
          </w:p>
        </w:tc>
        <w:tc>
          <w:tcPr>
            <w:tcW w:w="3698" w:type="dxa"/>
            <w:tcBorders/>
            <w:vAlign w:val="center"/>
          </w:tcPr>
          <w:p>
            <w:pPr>
              <w:jc w:val="right"/>
            </w:pPr>
            <w:r>
              <w:rPr>
                <w:rFonts w:ascii="宋体" w:eastAsia="宋体" w:hAnsi="宋体" w:cs="宋体"/>
                <w:b w:val="0"/>
                <w:i w:val="0"/>
                <w:color w:val="000000"/>
                <w:sz w:val="28"/>
              </w:rPr>
              <w:t xml:space="preserve">0.00</w:t>
            </w:r>
          </w:p>
        </w:tc>
      </w:tr>
      <w:tr>
        <w:trPr>
          <w:trHeight w:hRule="exact" w:val="701"/>
          <w:jc w:val="center"/>
        </w:trPr>
        <w:tc>
          <w:tcPr>
            <w:tcW w:w="6560" w:type="dxa"/>
            <w:tcBorders/>
            <w:vAlign w:val="center"/>
          </w:tcPr>
          <w:p>
            <w:pPr>
              <w:jc w:val="left"/>
            </w:pPr>
            <w:r>
              <w:rPr>
                <w:rFonts w:ascii="宋体" w:eastAsia="宋体" w:hAnsi="宋体" w:cs="宋体"/>
                <w:b w:val="0"/>
                <w:i w:val="0"/>
                <w:color w:val="000000"/>
                <w:sz w:val="28"/>
              </w:rPr>
              <w:t xml:space="preserve">    （2）公务用车运行维护费</w:t>
            </w:r>
          </w:p>
        </w:tc>
        <w:tc>
          <w:tcPr>
            <w:tcW w:w="3700" w:type="dxa"/>
            <w:tcBorders/>
            <w:vAlign w:val="center"/>
          </w:tcPr>
          <w:p>
            <w:pPr>
              <w:jc w:val="right"/>
            </w:pPr>
            <w:r>
              <w:rPr>
                <w:rFonts w:ascii="宋体" w:eastAsia="宋体" w:hAnsi="宋体" w:cs="宋体"/>
                <w:b w:val="0"/>
                <w:i w:val="0"/>
                <w:color w:val="000000"/>
                <w:sz w:val="28"/>
              </w:rPr>
              <w:t xml:space="preserve">0.00</w:t>
            </w:r>
          </w:p>
        </w:tc>
        <w:tc>
          <w:tcPr>
            <w:tcW w:w="3698" w:type="dxa"/>
            <w:tcBorders/>
            <w:vAlign w:val="center"/>
          </w:tcPr>
          <w:p>
            <w:pPr>
              <w:jc w:val="right"/>
            </w:pPr>
            <w:r>
              <w:rPr>
                <w:rFonts w:ascii="宋体" w:eastAsia="宋体" w:hAnsi="宋体" w:cs="宋体"/>
                <w:b w:val="0"/>
                <w:i w:val="0"/>
                <w:color w:val="000000"/>
                <w:sz w:val="28"/>
              </w:rPr>
              <w:t xml:space="preserve">0.00</w:t>
            </w:r>
          </w:p>
        </w:tc>
      </w:tr>
      <w:tr>
        <w:trPr>
          <w:trHeight w:hRule="exact" w:val="701"/>
          <w:jc w:val="center"/>
        </w:trPr>
        <w:tc>
          <w:tcPr>
            <w:tcW w:w="6560" w:type="dxa"/>
            <w:tcBorders/>
            <w:vAlign w:val="center"/>
          </w:tcPr>
          <w:p>
            <w:pPr>
              <w:jc w:val="left"/>
            </w:pPr>
            <w:r>
              <w:rPr>
                <w:rFonts w:ascii="宋体" w:eastAsia="宋体" w:hAnsi="宋体" w:cs="宋体"/>
                <w:b w:val="0"/>
                <w:i w:val="0"/>
                <w:color w:val="000000"/>
                <w:sz w:val="28"/>
              </w:rPr>
              <w:t xml:space="preserve">  3．公务接待费</w:t>
            </w:r>
          </w:p>
        </w:tc>
        <w:tc>
          <w:tcPr>
            <w:tcW w:w="3700" w:type="dxa"/>
            <w:tcBorders/>
            <w:vAlign w:val="center"/>
          </w:tcPr>
          <w:p>
            <w:pPr>
              <w:jc w:val="right"/>
            </w:pPr>
            <w:r>
              <w:rPr>
                <w:rFonts w:ascii="宋体" w:eastAsia="宋体" w:hAnsi="宋体" w:cs="宋体"/>
                <w:b w:val="0"/>
                <w:i w:val="0"/>
                <w:color w:val="000000"/>
                <w:sz w:val="28"/>
              </w:rPr>
              <w:t xml:space="preserve">0.00</w:t>
            </w:r>
          </w:p>
        </w:tc>
        <w:tc>
          <w:tcPr>
            <w:tcW w:w="3698" w:type="dxa"/>
            <w:tcBorders/>
            <w:vAlign w:val="center"/>
          </w:tcPr>
          <w:p>
            <w:pPr>
              <w:jc w:val="right"/>
            </w:pPr>
            <w:r>
              <w:rPr>
                <w:rFonts w:ascii="宋体" w:eastAsia="宋体" w:hAnsi="宋体" w:cs="宋体"/>
                <w:b w:val="0"/>
                <w:i w:val="0"/>
                <w:color w:val="000000"/>
                <w:sz w:val="28"/>
              </w:rPr>
              <w:t xml:space="preserve">0.00</w:t>
            </w:r>
          </w:p>
        </w:tc>
      </w:tr>
      <w:tr>
        <w:trPr>
          <w:trHeight w:hRule="exact" w:val="2069"/>
          <w:jc w:val="center"/>
        </w:trPr>
        <w:tc>
          <w:tcPr>
            <w:tcW w:w="13958" w:type="dxa"/>
            <w:gridSpan w:val="3"/>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8"/>
              </w:rPr>
              <w:t xml:space="preserve">注：本表反映本年度财政拨款“三公”经费支出预决算情况。其中：预算数为“三公”经费全年预算数，决算数是包括当年财政拨款和以前年度结转资金安排的实际支出。因公出国（境）费用不含教学科研人员学术交流。</w:t>
            </w:r>
          </w:p>
        </w:tc>
      </w:tr>
    </w:tbl>
    <w:p>
      <w:pPr>
        <w:snapToGrid w:val="0"/>
        <w:spacing w:before="0" w:after="0" w:line="0"/>
      </w:pPr>
      <w:r>
        <w:rPr>
          <w:sz w:val="8"/>
        </w:rPr>
        <w:t xml:space="preserve"> </w:t>
      </w:r>
    </w:p>
    <w:p>
      <w:pPr>
        <w:jc w:val="left"/>
        <w:rPr>
          <w:rFonts w:ascii="黑体" w:eastAsia="黑体" w:hAnsi="黑体" w:cs="黑体" w:hint="eastAsia"/>
          <w:sz w:val="36"/>
          <w:szCs w:val="36"/>
          <w:highlight w:val="none"/>
          <w:lang w:val="en-US" w:eastAsia="zh-CN"/>
        </w:rPr>
      </w:pPr>
      <w:r>
        <w:rPr>
          <w:rFonts w:ascii="宋体" w:eastAsia="宋体" w:hAnsi="宋体" w:asciiTheme="minorEastAsia" w:eastAsiaTheme="minorEastAsia" w:hAnsiTheme="minorEastAsia" w:cs="Arial" w:cstheme="minorEastAsia" w:hint="eastAsia"/>
          <w:sz w:val="18"/>
          <w:szCs w:val="18"/>
          <w:highlight w:val="none"/>
          <w:lang w:val="en-US" w:eastAsia="zh-CN"/>
        </w:rPr>
        <w:t xml:space="preserve">说明：本单位2023年度无财政拨款“三公”经费支出，故无相关数据。</w:t>
      </w:r>
    </w:p>
    <w:p>
      <w:pPr>
        <w:jc w:val="left"/>
        <w:rPr>
          <w:rFonts w:ascii="黑体" w:eastAsia="黑体" w:hAnsi="黑体" w:cs="黑体" w:hint="eastAsia"/>
          <w:sz w:val="36"/>
          <w:szCs w:val="36"/>
          <w:highlight w:val="none"/>
          <w:lang w:val="en-US" w:eastAsia="zh-CN"/>
        </w:rPr>
        <w:sectPr>
          <w:pgSz w:w="16838" w:h="11906" w:orient="landscape"/>
          <w:pgMar w:top="1134" w:right="1440" w:bottom="1134" w:left="1440" w:header="851" w:footer="992" w:gutter="0"/>
          <w:pgBorders/>
          <w:pgNumType w:fmt="decimal"/>
          <w:cols w:num="1" w:space="425">
            <w:col w:w="13958" w:space="425"/>
          </w:cols>
          <w:docGrid w:type="lines" w:linePitch="312" w:charSpace="0"/>
        </w:sectPr>
      </w:pPr>
    </w:p>
    <w:p>
      <w:pPr>
        <w:keepNext/>
        <w:keepLines/>
        <w:spacing w:beforeLines="0" w:afterLines="0" w:line="600" w:lineRule="exact"/>
        <w:jc w:val="left"/>
        <w:outlineLvl w:val="0"/>
        <w:rPr>
          <w:rFonts w:ascii="黑体" w:eastAsia="黑体" w:hAnsi="黑体" w:hint="eastAsia"/>
          <w:b w:val="0"/>
          <w:bCs/>
          <w:color w:val="000000"/>
          <w:sz w:val="32"/>
          <w:szCs w:val="24"/>
          <w:highlight w:val="none"/>
          <w:lang w:val="en-US"/>
        </w:rPr>
      </w:pPr>
      <w:bookmarkStart w:id="30" w:name="_Toc20367"/>
      <w:bookmarkStart w:id="31" w:name="_Toc_1_2_0000000047"/>
      <w:r>
        <w:rPr>
          <w:rFonts w:ascii="黑体" w:eastAsia="黑体" w:hAnsi="黑体" w:hint="eastAsia"/>
          <w:b w:val="0"/>
          <w:bCs/>
          <w:color w:val="000000"/>
          <w:sz w:val="32"/>
          <w:szCs w:val="24"/>
          <w:highlight w:val="none"/>
          <w:lang w:val="en-US" w:eastAsia="zh-CN"/>
        </w:rPr>
        <w:t xml:space="preserve">三、2023年度单位决算情况说明</w:t>
      </w:r>
      <w:bookmarkEnd w:id="30"/>
      <w:bookmarkEnd w:id="31"/>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32" w:name="_Toc14213"/>
      <w:bookmarkStart w:id="33" w:name="_Toc_1_2_0000000048"/>
      <w:r>
        <w:rPr>
          <w:rFonts w:ascii="黑体" w:eastAsia="黑体" w:hAnsi="宋体" w:cs="黑体" w:hint="eastAsia"/>
          <w:kern w:val="2"/>
          <w:sz w:val="32"/>
          <w:szCs w:val="32"/>
          <w:lang w:val="en-US" w:eastAsia="zh-CN"/>
        </w:rPr>
        <w:t xml:space="preserve">（一）收入支出决算总体情况说明</w:t>
      </w:r>
      <w:bookmarkEnd w:id="32"/>
      <w:bookmarkEnd w:id="33"/>
    </w:p>
    <w:p>
      <w:pPr>
        <w:keepNext w:val="0"/>
        <w:keepLines w:val="0"/>
        <w:widowControl w:val="0"/>
        <w:suppressLineNumbers w:val="0"/>
        <w:spacing w:before="0" w:beforeAutospacing="0" w:after="0" w:afterAutospacing="0"/>
        <w:ind w:left="0" w:right="0" w:firstLine="640" w:firstLineChars="200"/>
        <w:jc w:val="both"/>
      </w:pPr>
      <w:r>
        <w:rPr>
          <w:rFonts w:ascii="仿宋" w:eastAsia="仿宋" w:hAnsi="仿宋" w:hint="eastAsia"/>
          <w:color w:val="000000"/>
          <w:sz w:val="32"/>
          <w:szCs w:val="24"/>
          <w:highlight w:val="none"/>
          <w:lang w:val="en-US" w:eastAsia="zh-CN"/>
        </w:rPr>
        <w:t xml:space="preserve">2023</w:t>
      </w:r>
      <w:r>
        <w:rPr>
          <w:rFonts w:ascii="仿宋" w:eastAsia="仿宋" w:hAnsi="仿宋" w:hint="eastAsia"/>
          <w:color w:val="000000"/>
          <w:sz w:val="32"/>
          <w:szCs w:val="24"/>
          <w:highlight w:val="none"/>
          <w:lang w:val="en-US"/>
        </w:rPr>
        <w:t xml:space="preserve">年度收入总计</w:t>
      </w:r>
      <w:r>
        <w:rPr>
          <w:rFonts w:ascii="仿宋" w:eastAsia="仿宋" w:hAnsi="仿宋" w:hint="eastAsia"/>
          <w:color w:val="000000"/>
          <w:sz w:val="32"/>
          <w:szCs w:val="24"/>
          <w:highlight w:val="none"/>
          <w:lang w:val="en-US" w:eastAsia="zh-CN"/>
        </w:rPr>
        <w:t xml:space="preserve">1724.06</w:t>
      </w:r>
      <w:r>
        <w:rPr>
          <w:rFonts w:ascii="仿宋" w:eastAsia="仿宋" w:hAnsi="仿宋" w:hint="eastAsia"/>
          <w:color w:val="000000"/>
          <w:sz w:val="32"/>
          <w:szCs w:val="24"/>
          <w:highlight w:val="none"/>
          <w:lang w:val="en-US"/>
        </w:rPr>
        <w:t xml:space="preserve">万元，支出总计</w:t>
      </w:r>
      <w:r>
        <w:rPr>
          <w:rFonts w:ascii="仿宋" w:eastAsia="仿宋" w:hAnsi="仿宋" w:hint="eastAsia"/>
          <w:color w:val="000000"/>
          <w:sz w:val="32"/>
          <w:szCs w:val="24"/>
          <w:highlight w:val="none"/>
          <w:lang w:val="en-US" w:eastAsia="zh-CN"/>
        </w:rPr>
        <w:t xml:space="preserve">1724.06</w:t>
      </w:r>
      <w:r>
        <w:rPr>
          <w:rFonts w:ascii="仿宋" w:eastAsia="仿宋" w:hAnsi="仿宋" w:hint="eastAsia"/>
          <w:color w:val="000000"/>
          <w:sz w:val="32"/>
          <w:szCs w:val="24"/>
          <w:highlight w:val="none"/>
          <w:lang w:val="en-US"/>
        </w:rPr>
        <w:t xml:space="preserve">万元,与</w:t>
      </w:r>
      <w:r>
        <w:rPr>
          <w:rFonts w:ascii="仿宋" w:eastAsia="仿宋" w:hAnsi="仿宋" w:hint="eastAsia"/>
          <w:color w:val="000000"/>
          <w:sz w:val="32"/>
          <w:szCs w:val="24"/>
          <w:highlight w:val="none"/>
          <w:lang w:val="en-US" w:eastAsia="zh-CN"/>
        </w:rPr>
        <w:t xml:space="preserve">2022</w:t>
      </w:r>
      <w:r>
        <w:rPr>
          <w:rFonts w:ascii="仿宋" w:eastAsia="仿宋" w:hAnsi="仿宋" w:hint="eastAsia"/>
          <w:color w:val="000000"/>
          <w:sz w:val="32"/>
          <w:szCs w:val="24"/>
          <w:highlight w:val="none"/>
          <w:lang w:val="en-US"/>
        </w:rPr>
        <w:t xml:space="preserve">年度相比，</w:t>
      </w:r>
      <w:r>
        <w:rPr>
          <w:rFonts w:ascii="仿宋" w:eastAsia="仿宋" w:hAnsi="仿宋" w:hint="eastAsia"/>
          <w:color w:val="000000"/>
          <w:sz w:val="32"/>
          <w:szCs w:val="24"/>
          <w:highlight w:val="none"/>
          <w:lang w:val="en-US" w:eastAsia="zh-CN"/>
        </w:rPr>
        <w:t xml:space="preserve">各</w:t>
      </w:r>
      <w:r>
        <w:rPr>
          <w:rFonts w:ascii="仿宋_GB2312" w:eastAsia="仿宋_GB2312" w:cs="仿宋_GB2312"/>
          <w:color w:val="auto"/>
          <w:sz w:val="32"/>
          <w:szCs w:val="32"/>
          <w:highlight w:val="none"/>
        </w:rPr>
        <w:t xml:space="preserve">增加259.81万元，增长17.74%</w:t>
      </w:r>
      <w:r>
        <w:rPr>
          <w:rFonts w:ascii="仿宋" w:eastAsia="仿宋" w:hAnsi="仿宋" w:hint="eastAsia"/>
          <w:color w:val="000000"/>
          <w:sz w:val="32"/>
          <w:szCs w:val="24"/>
          <w:highlight w:val="none"/>
          <w:lang w:val="en-US" w:eastAsia="zh-CN"/>
        </w:rPr>
        <w:t xml:space="preserve">,</w:t>
      </w:r>
      <w:r>
        <w:rPr>
          <w:rFonts w:ascii="仿宋" w:eastAsia="仿宋" w:hAnsi="仿宋" w:hint="eastAsia"/>
          <w:color w:val="000000"/>
          <w:sz w:val="32"/>
          <w:szCs w:val="24"/>
          <w:highlight w:val="none"/>
          <w:lang w:val="en-US"/>
        </w:rPr>
        <w:t xml:space="preserve">主要原因是：</w:t>
      </w:r>
      <w:r>
        <w:rPr>
          <w:rFonts w:ascii="仿宋" w:eastAsia="仿宋" w:hAnsi="仿宋" w:cs="仿宋" w:hint="eastAsia"/>
          <w:kern w:val="0"/>
          <w:sz w:val="32"/>
          <w:szCs w:val="32"/>
          <w:lang w:val="en-US" w:eastAsia="zh-CN"/>
        </w:rPr>
        <w:t xml:space="preserve">2023将待确认收入转入累计盈余。</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34" w:name="_Toc3121"/>
      <w:bookmarkStart w:id="35" w:name="_Toc_1_2_0000000049"/>
      <w:r>
        <w:rPr>
          <w:rFonts w:ascii="黑体" w:eastAsia="黑体" w:hAnsi="黑体" w:hint="eastAsia"/>
          <w:b w:val="0"/>
          <w:bCs/>
          <w:color w:val="000000"/>
          <w:sz w:val="32"/>
          <w:szCs w:val="24"/>
          <w:highlight w:val="none"/>
          <w:lang w:val="en-US" w:eastAsia="zh-CN"/>
        </w:rPr>
        <w:t xml:space="preserve">（二）收入决算情况说明</w:t>
      </w:r>
      <w:bookmarkEnd w:id="34"/>
      <w:bookmarkEnd w:id="35"/>
    </w:p>
    <w:p>
      <w:pPr>
        <w:spacing w:beforeLines="0" w:afterLines="0" w:line="600" w:lineRule="exact"/>
        <w:ind w:firstLine="640"/>
        <w:rPr>
          <w:rFonts w:ascii="仿宋" w:eastAsia="仿宋" w:hAnsi="仿宋" w:hint="eastAsia"/>
          <w:color w:val="000000"/>
          <w:sz w:val="32"/>
          <w:szCs w:val="24"/>
          <w:highlight w:val="none"/>
          <w:lang w:val="en-US"/>
        </w:rPr>
      </w:pPr>
      <w:r>
        <w:rPr>
          <w:rFonts w:ascii="仿宋" w:eastAsia="仿宋" w:hAnsi="仿宋" w:hint="eastAsia"/>
          <w:color w:val="000000"/>
          <w:sz w:val="32"/>
          <w:szCs w:val="24"/>
          <w:highlight w:val="none"/>
          <w:lang w:val="en-US"/>
        </w:rPr>
        <w:t xml:space="preserve">本年收入合计</w:t>
      </w:r>
      <w:r>
        <w:rPr>
          <w:rFonts w:ascii="仿宋" w:eastAsia="仿宋" w:hAnsi="仿宋" w:hint="eastAsia"/>
          <w:color w:val="000000"/>
          <w:sz w:val="32"/>
          <w:szCs w:val="24"/>
          <w:highlight w:val="none"/>
          <w:lang w:val="en-US" w:eastAsia="zh-CN"/>
        </w:rPr>
        <w:t xml:space="preserve">1199.42</w:t>
      </w:r>
      <w:r>
        <w:rPr>
          <w:rFonts w:ascii="仿宋" w:eastAsia="仿宋" w:hAnsi="仿宋" w:hint="eastAsia"/>
          <w:color w:val="000000"/>
          <w:sz w:val="32"/>
          <w:szCs w:val="24"/>
          <w:highlight w:val="none"/>
          <w:lang w:val="en-US"/>
        </w:rPr>
        <w:t xml:space="preserve">万元；包括财政拨款收入</w:t>
      </w:r>
      <w:r>
        <w:rPr>
          <w:rFonts w:ascii="仿宋" w:eastAsia="仿宋" w:hAnsi="仿宋" w:hint="eastAsia"/>
          <w:color w:val="000000"/>
          <w:sz w:val="32"/>
          <w:szCs w:val="24"/>
          <w:highlight w:val="none"/>
          <w:lang w:val="en-US" w:eastAsia="zh-CN"/>
        </w:rPr>
        <w:t xml:space="preserve">1166.34</w:t>
      </w:r>
      <w:r>
        <w:rPr>
          <w:rFonts w:ascii="仿宋" w:eastAsia="仿宋" w:hAnsi="仿宋" w:hint="eastAsia"/>
          <w:color w:val="000000"/>
          <w:sz w:val="32"/>
          <w:szCs w:val="24"/>
          <w:highlight w:val="none"/>
          <w:lang w:val="en-US"/>
        </w:rPr>
        <w:t xml:space="preserve">万元（其中，一般公共预算</w:t>
      </w:r>
      <w:r>
        <w:rPr>
          <w:rFonts w:ascii="仿宋" w:eastAsia="仿宋" w:hAnsi="仿宋" w:hint="eastAsia"/>
          <w:color w:val="000000"/>
          <w:sz w:val="32"/>
          <w:szCs w:val="24"/>
          <w:highlight w:val="none"/>
          <w:lang w:val="en-US" w:eastAsia="zh-CN"/>
        </w:rPr>
        <w:t xml:space="preserve">1166.34</w:t>
      </w:r>
      <w:r>
        <w:rPr>
          <w:rFonts w:ascii="仿宋" w:eastAsia="仿宋" w:hAnsi="仿宋" w:hint="eastAsia"/>
          <w:color w:val="000000"/>
          <w:sz w:val="32"/>
          <w:szCs w:val="24"/>
          <w:highlight w:val="none"/>
          <w:lang w:val="en-US"/>
        </w:rPr>
        <w:t xml:space="preserve">万元，政府性基金预算</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万元,国有资本经营预算</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万元），占收入合计</w:t>
      </w:r>
      <w:r>
        <w:rPr>
          <w:rFonts w:ascii="仿宋" w:eastAsia="仿宋" w:hAnsi="仿宋" w:hint="eastAsia"/>
          <w:color w:val="000000"/>
          <w:sz w:val="32"/>
          <w:szCs w:val="24"/>
          <w:highlight w:val="none"/>
          <w:lang w:val="en-US" w:eastAsia="zh-CN"/>
        </w:rPr>
        <w:t xml:space="preserve">97.24</w:t>
      </w:r>
      <w:r>
        <w:rPr>
          <w:rFonts w:ascii="仿宋" w:eastAsia="仿宋" w:hAnsi="仿宋" w:hint="eastAsia"/>
          <w:color w:val="000000"/>
          <w:sz w:val="32"/>
          <w:szCs w:val="24"/>
          <w:highlight w:val="none"/>
          <w:lang w:val="en-US"/>
        </w:rPr>
        <w:t xml:space="preserve">%；上级补助收入</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万元，占收入合计</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%；事业收入</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万元，占收入合计</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%；经营收入</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万元，占收入合计</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%；附属单位上缴收入</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万元，占收入合计</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%；其他收入</w:t>
      </w:r>
      <w:r>
        <w:rPr>
          <w:rFonts w:ascii="仿宋" w:eastAsia="仿宋" w:hAnsi="仿宋" w:hint="eastAsia"/>
          <w:color w:val="000000"/>
          <w:sz w:val="32"/>
          <w:szCs w:val="24"/>
          <w:highlight w:val="none"/>
          <w:lang w:val="en-US" w:eastAsia="zh-CN"/>
        </w:rPr>
        <w:t xml:space="preserve">33.08</w:t>
      </w:r>
      <w:r>
        <w:rPr>
          <w:rFonts w:ascii="仿宋" w:eastAsia="仿宋" w:hAnsi="仿宋" w:hint="eastAsia"/>
          <w:color w:val="000000"/>
          <w:sz w:val="32"/>
          <w:szCs w:val="24"/>
          <w:highlight w:val="none"/>
          <w:lang w:val="en-US"/>
        </w:rPr>
        <w:t xml:space="preserve">万元，占收入合计</w:t>
      </w:r>
      <w:r>
        <w:rPr>
          <w:rFonts w:ascii="仿宋" w:eastAsia="仿宋" w:hAnsi="仿宋" w:hint="eastAsia"/>
          <w:color w:val="000000"/>
          <w:sz w:val="32"/>
          <w:szCs w:val="24"/>
          <w:highlight w:val="none"/>
          <w:lang w:val="en-US" w:eastAsia="zh-CN"/>
        </w:rPr>
        <w:t xml:space="preserve">2.76</w:t>
      </w:r>
      <w:r>
        <w:rPr>
          <w:rFonts w:ascii="仿宋" w:eastAsia="仿宋" w:hAnsi="仿宋" w:hint="eastAsia"/>
          <w:color w:val="000000"/>
          <w:sz w:val="32"/>
          <w:szCs w:val="24"/>
          <w:highlight w:val="none"/>
          <w:lang w:val="en-US"/>
        </w:rPr>
        <w:t xml:space="preserve">%。</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36" w:name="_Toc31087"/>
      <w:bookmarkStart w:id="37" w:name="_Toc_1_2_0000000050"/>
      <w:r>
        <w:rPr>
          <w:rFonts w:ascii="黑体" w:eastAsia="黑体" w:hAnsi="宋体" w:cs="黑体" w:hint="eastAsia"/>
          <w:kern w:val="2"/>
          <w:sz w:val="32"/>
          <w:szCs w:val="32"/>
          <w:lang w:val="en-US" w:eastAsia="zh-CN"/>
        </w:rPr>
        <w:t xml:space="preserve">（三）支出决算情况说明</w:t>
      </w:r>
      <w:bookmarkEnd w:id="36"/>
      <w:bookmarkEnd w:id="37"/>
    </w:p>
    <w:p>
      <w:pPr>
        <w:spacing w:beforeLines="0" w:afterLines="0" w:line="600" w:lineRule="exact"/>
        <w:ind w:firstLine="594"/>
        <w:rPr>
          <w:rFonts w:ascii="黑体" w:eastAsia="黑体" w:hAnsi="宋体" w:cs="黑体" w:hint="eastAsia"/>
          <w:kern w:val="2"/>
          <w:sz w:val="32"/>
          <w:szCs w:val="32"/>
          <w:highlight w:val="none"/>
          <w:lang w:val="en-US" w:eastAsia="zh-CN"/>
        </w:rPr>
      </w:pPr>
      <w:r>
        <w:rPr>
          <w:rFonts w:ascii="仿宋" w:eastAsia="仿宋" w:hAnsi="仿宋" w:hint="eastAsia"/>
          <w:color w:val="000000"/>
          <w:sz w:val="32"/>
          <w:szCs w:val="24"/>
          <w:highlight w:val="none"/>
          <w:lang w:val="en-US"/>
        </w:rPr>
        <w:t xml:space="preserve">本年支出合计</w:t>
      </w:r>
      <w:r>
        <w:rPr>
          <w:rFonts w:ascii="仿宋" w:eastAsia="仿宋" w:hAnsi="仿宋" w:hint="eastAsia"/>
          <w:color w:val="000000"/>
          <w:sz w:val="32"/>
          <w:szCs w:val="24"/>
          <w:highlight w:val="none"/>
          <w:lang w:val="en-US" w:eastAsia="zh-CN"/>
        </w:rPr>
        <w:t xml:space="preserve">1199.42</w:t>
      </w:r>
      <w:r>
        <w:rPr>
          <w:rFonts w:ascii="仿宋" w:eastAsia="仿宋" w:hAnsi="仿宋" w:hint="eastAsia"/>
          <w:color w:val="000000"/>
          <w:sz w:val="32"/>
          <w:szCs w:val="24"/>
          <w:highlight w:val="none"/>
          <w:lang w:val="en-US"/>
        </w:rPr>
        <w:t xml:space="preserve">万元，其中基本支出</w:t>
      </w:r>
      <w:r>
        <w:rPr>
          <w:rFonts w:ascii="仿宋" w:eastAsia="仿宋" w:hAnsi="仿宋" w:hint="eastAsia"/>
          <w:color w:val="000000"/>
          <w:sz w:val="32"/>
          <w:szCs w:val="24"/>
          <w:highlight w:val="none"/>
          <w:lang w:val="en-US" w:eastAsia="zh-CN"/>
        </w:rPr>
        <w:t xml:space="preserve">1166.34</w:t>
      </w:r>
      <w:r>
        <w:rPr>
          <w:rFonts w:ascii="仿宋" w:eastAsia="仿宋" w:hAnsi="仿宋" w:hint="eastAsia"/>
          <w:color w:val="000000"/>
          <w:sz w:val="32"/>
          <w:szCs w:val="24"/>
          <w:highlight w:val="none"/>
          <w:lang w:val="en-US"/>
        </w:rPr>
        <w:t xml:space="preserve">万元，占</w:t>
      </w:r>
      <w:r>
        <w:rPr>
          <w:rFonts w:ascii="仿宋" w:eastAsia="仿宋" w:hAnsi="仿宋" w:hint="eastAsia"/>
          <w:color w:val="000000"/>
          <w:sz w:val="32"/>
          <w:szCs w:val="24"/>
          <w:highlight w:val="none"/>
          <w:lang w:val="en-US" w:eastAsia="zh-CN"/>
        </w:rPr>
        <w:t xml:space="preserve">97.24</w:t>
      </w:r>
      <w:r>
        <w:rPr>
          <w:rFonts w:ascii="仿宋" w:eastAsia="仿宋" w:hAnsi="仿宋" w:hint="eastAsia"/>
          <w:color w:val="000000"/>
          <w:sz w:val="32"/>
          <w:szCs w:val="24"/>
          <w:highlight w:val="none"/>
          <w:lang w:val="en-US"/>
        </w:rPr>
        <w:t xml:space="preserve">%；项目支出</w:t>
      </w:r>
      <w:r>
        <w:rPr>
          <w:rFonts w:ascii="仿宋" w:eastAsia="仿宋" w:hAnsi="仿宋" w:hint="eastAsia"/>
          <w:color w:val="000000"/>
          <w:sz w:val="32"/>
          <w:szCs w:val="24"/>
          <w:highlight w:val="none"/>
          <w:lang w:val="en-US" w:eastAsia="zh-CN"/>
        </w:rPr>
        <w:t xml:space="preserve">33.08</w:t>
      </w:r>
      <w:r>
        <w:rPr>
          <w:rFonts w:ascii="仿宋" w:eastAsia="仿宋" w:hAnsi="仿宋" w:hint="eastAsia"/>
          <w:color w:val="000000"/>
          <w:sz w:val="32"/>
          <w:szCs w:val="24"/>
          <w:highlight w:val="none"/>
          <w:lang w:val="en-US"/>
        </w:rPr>
        <w:t xml:space="preserve">万元，占</w:t>
      </w:r>
      <w:r>
        <w:rPr>
          <w:rFonts w:ascii="仿宋" w:eastAsia="仿宋" w:hAnsi="仿宋" w:hint="eastAsia"/>
          <w:color w:val="000000"/>
          <w:sz w:val="32"/>
          <w:szCs w:val="24"/>
          <w:highlight w:val="none"/>
          <w:lang w:val="en-US" w:eastAsia="zh-CN"/>
        </w:rPr>
        <w:t xml:space="preserve">2.76</w:t>
      </w:r>
      <w:r>
        <w:rPr>
          <w:rFonts w:ascii="仿宋" w:eastAsia="仿宋" w:hAnsi="仿宋" w:hint="eastAsia"/>
          <w:color w:val="000000"/>
          <w:sz w:val="32"/>
          <w:szCs w:val="24"/>
          <w:highlight w:val="none"/>
          <w:lang w:val="en-US"/>
        </w:rPr>
        <w:t xml:space="preserve">%；上缴上级支出</w:t>
      </w:r>
      <w:r>
        <w:rPr>
          <w:rFonts w:ascii="仿宋" w:eastAsia="仿宋" w:hAnsi="仿宋" w:hint="eastAsia"/>
          <w:color w:val="000000"/>
          <w:sz w:val="32"/>
          <w:szCs w:val="24"/>
          <w:highlight w:val="none"/>
          <w:lang w:val="zh-CN"/>
        </w:rPr>
        <w:t xml:space="preserve">0.00</w:t>
      </w:r>
      <w:r>
        <w:rPr>
          <w:rFonts w:ascii="仿宋" w:eastAsia="仿宋" w:hAnsi="仿宋" w:hint="eastAsia"/>
          <w:color w:val="000000"/>
          <w:sz w:val="32"/>
          <w:szCs w:val="24"/>
          <w:highlight w:val="none"/>
          <w:lang w:val="en-US"/>
        </w:rPr>
        <w:t xml:space="preserve">万元，占</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%；经营支出</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万元，占</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%；对附属单位补助支出</w:t>
      </w:r>
      <w:r>
        <w:rPr>
          <w:rFonts w:ascii="仿宋" w:eastAsia="仿宋" w:hAnsi="仿宋" w:hint="eastAsia"/>
          <w:color w:val="000000"/>
          <w:sz w:val="32"/>
          <w:szCs w:val="24"/>
          <w:highlight w:val="none"/>
          <w:lang w:val="zh-CN"/>
        </w:rPr>
        <w:t xml:space="preserve">0.00</w:t>
      </w:r>
      <w:r>
        <w:rPr>
          <w:rFonts w:ascii="仿宋" w:eastAsia="仿宋" w:hAnsi="仿宋" w:hint="eastAsia"/>
          <w:color w:val="000000"/>
          <w:sz w:val="32"/>
          <w:szCs w:val="24"/>
          <w:highlight w:val="none"/>
          <w:lang w:val="en-US"/>
        </w:rPr>
        <w:t xml:space="preserve">万元，占</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38" w:name="_Toc32033"/>
      <w:bookmarkStart w:id="39" w:name="_Toc_1_2_0000000051"/>
      <w:r>
        <w:rPr>
          <w:rFonts w:ascii="黑体" w:eastAsia="黑体" w:hAnsi="宋体" w:cs="黑体" w:hint="eastAsia"/>
          <w:kern w:val="2"/>
          <w:sz w:val="32"/>
          <w:szCs w:val="32"/>
          <w:lang w:val="en-US" w:eastAsia="zh-CN"/>
        </w:rPr>
        <w:t xml:space="preserve">（四）财政拨款收入支出决算总体情况说明</w:t>
      </w:r>
      <w:bookmarkEnd w:id="38"/>
      <w:bookmarkEnd w:id="39"/>
    </w:p>
    <w:p>
      <w:pPr>
        <w:keepNext w:val="0"/>
        <w:keepLines w:val="0"/>
        <w:widowControl w:val="0"/>
        <w:suppressLineNumbers w:val="0"/>
        <w:spacing w:before="0" w:beforeAutospacing="0" w:after="0" w:afterAutospacing="0"/>
        <w:ind w:right="0" w:firstLine="640" w:firstLineChars="200"/>
        <w:jc w:val="both"/>
        <w:rPr>
          <w:rFonts w:ascii="仿宋" w:eastAsia="仿宋" w:hAnsi="仿宋" w:cs="仿宋" w:hint="eastAsia"/>
          <w:kern w:val="0"/>
          <w:sz w:val="32"/>
          <w:szCs w:val="32"/>
          <w:highlight w:val="none"/>
          <w:lang w:val="en-US" w:eastAsia="zh-CN"/>
        </w:rPr>
      </w:pPr>
      <w:r>
        <w:rPr>
          <w:rFonts w:ascii="仿宋" w:eastAsia="仿宋" w:hAnsi="仿宋" w:hint="eastAsia"/>
          <w:color w:val="000000"/>
          <w:sz w:val="32"/>
          <w:szCs w:val="24"/>
          <w:highlight w:val="none"/>
          <w:lang w:val="en-US" w:eastAsia="zh-CN"/>
        </w:rPr>
        <w:t xml:space="preserve">2023</w:t>
      </w:r>
      <w:r>
        <w:rPr>
          <w:rFonts w:ascii="仿宋" w:eastAsia="仿宋" w:hAnsi="仿宋" w:hint="eastAsia"/>
          <w:color w:val="000000"/>
          <w:sz w:val="32"/>
          <w:szCs w:val="24"/>
          <w:highlight w:val="none"/>
          <w:lang w:val="en-US"/>
        </w:rPr>
        <w:t xml:space="preserve">年度财政拨款收入总计</w:t>
      </w:r>
      <w:r>
        <w:rPr>
          <w:rFonts w:ascii="仿宋" w:eastAsia="仿宋" w:hAnsi="仿宋" w:hint="eastAsia"/>
          <w:color w:val="000000"/>
          <w:sz w:val="32"/>
          <w:szCs w:val="24"/>
          <w:highlight w:val="none"/>
          <w:lang w:val="en-US" w:eastAsia="zh-CN"/>
        </w:rPr>
        <w:t xml:space="preserve">1166.34</w:t>
      </w:r>
      <w:r>
        <w:rPr>
          <w:rFonts w:ascii="仿宋" w:eastAsia="仿宋" w:hAnsi="仿宋" w:hint="eastAsia"/>
          <w:color w:val="000000"/>
          <w:sz w:val="32"/>
          <w:szCs w:val="24"/>
          <w:highlight w:val="none"/>
          <w:lang w:val="en-US"/>
        </w:rPr>
        <w:t xml:space="preserve">万元，支出总计</w:t>
      </w:r>
      <w:r>
        <w:rPr>
          <w:rFonts w:ascii="仿宋" w:eastAsia="仿宋" w:hAnsi="仿宋" w:hint="eastAsia"/>
          <w:color w:val="000000"/>
          <w:sz w:val="32"/>
          <w:szCs w:val="24"/>
          <w:highlight w:val="none"/>
          <w:lang w:val="en-US" w:eastAsia="zh-CN"/>
        </w:rPr>
        <w:t xml:space="preserve">1166.34</w:t>
      </w:r>
      <w:r>
        <w:rPr>
          <w:rFonts w:ascii="仿宋" w:eastAsia="仿宋" w:hAnsi="仿宋" w:hint="eastAsia"/>
          <w:color w:val="000000"/>
          <w:sz w:val="32"/>
          <w:szCs w:val="24"/>
          <w:highlight w:val="none"/>
          <w:lang w:val="en-US"/>
        </w:rPr>
        <w:t xml:space="preserve">万元，与</w:t>
      </w:r>
      <w:r>
        <w:rPr>
          <w:rFonts w:ascii="仿宋" w:eastAsia="仿宋" w:hAnsi="仿宋" w:hint="eastAsia"/>
          <w:color w:val="000000"/>
          <w:sz w:val="32"/>
          <w:szCs w:val="24"/>
          <w:highlight w:val="none"/>
          <w:lang w:val="en-US" w:eastAsia="zh-CN"/>
        </w:rPr>
        <w:t xml:space="preserve">2022</w:t>
      </w:r>
      <w:r>
        <w:rPr>
          <w:rFonts w:ascii="仿宋" w:eastAsia="仿宋" w:hAnsi="仿宋" w:hint="eastAsia"/>
          <w:color w:val="000000"/>
          <w:sz w:val="32"/>
          <w:szCs w:val="24"/>
          <w:highlight w:val="none"/>
          <w:lang w:val="en-US"/>
        </w:rPr>
        <w:t xml:space="preserve">年相比，</w:t>
      </w:r>
      <w:r>
        <w:rPr>
          <w:rFonts w:ascii="仿宋" w:eastAsia="仿宋" w:hAnsi="仿宋" w:hint="eastAsia"/>
          <w:color w:val="000000"/>
          <w:sz w:val="32"/>
          <w:szCs w:val="24"/>
          <w:highlight w:val="none"/>
          <w:lang w:val="en-US" w:eastAsia="zh-CN"/>
        </w:rPr>
        <w:t xml:space="preserve">各</w:t>
      </w:r>
      <w:r>
        <w:rPr>
          <w:rFonts w:ascii="仿宋_GB2312" w:eastAsia="仿宋_GB2312" w:cs="仿宋_GB2312"/>
          <w:color w:val="auto"/>
          <w:sz w:val="32"/>
          <w:szCs w:val="32"/>
          <w:highlight w:val="none"/>
        </w:rPr>
        <w:t xml:space="preserve">增加30.29万元，增长2.67%</w:t>
      </w:r>
      <w:r>
        <w:rPr>
          <w:rFonts w:ascii="仿宋" w:eastAsia="仿宋" w:hAnsi="仿宋" w:hint="eastAsia"/>
          <w:color w:val="000000"/>
          <w:sz w:val="32"/>
          <w:szCs w:val="24"/>
          <w:highlight w:val="none"/>
          <w:lang w:val="en-US"/>
        </w:rPr>
        <w:t xml:space="preserve">。主要原因是</w:t>
      </w:r>
      <w:r>
        <w:rPr>
          <w:rFonts w:ascii="仿宋" w:eastAsia="仿宋" w:hAnsi="仿宋" w:cs="仿宋" w:hint="eastAsia"/>
          <w:kern w:val="0"/>
          <w:sz w:val="32"/>
          <w:szCs w:val="32"/>
          <w:lang w:val="en-US" w:eastAsia="zh-CN"/>
        </w:rPr>
        <w:t xml:space="preserve">人员增加。</w:t>
      </w:r>
      <w:r>
        <w:rPr>
          <w:rFonts w:ascii="仿宋" w:eastAsia="仿宋" w:hAnsi="仿宋" w:hint="eastAsia"/>
          <w:color w:val="000000"/>
          <w:sz w:val="32"/>
          <w:szCs w:val="24"/>
          <w:highlight w:val="none"/>
          <w:lang w:val="en-US"/>
        </w:rPr>
        <w:t xml:space="preserve">财政拨款支出年初预算数</w:t>
      </w:r>
      <w:r>
        <w:rPr>
          <w:rFonts w:ascii="仿宋" w:eastAsia="仿宋" w:hAnsi="仿宋" w:hint="eastAsia"/>
          <w:color w:val="000000"/>
          <w:sz w:val="32"/>
          <w:szCs w:val="24"/>
          <w:highlight w:val="none"/>
          <w:lang w:val="en-US" w:eastAsia="zh-CN"/>
        </w:rPr>
        <w:t xml:space="preserve">1151.78</w:t>
      </w:r>
      <w:r>
        <w:rPr>
          <w:rFonts w:ascii="仿宋" w:eastAsia="仿宋" w:hAnsi="仿宋" w:hint="eastAsia"/>
          <w:color w:val="000000"/>
          <w:sz w:val="32"/>
          <w:szCs w:val="24"/>
          <w:highlight w:val="none"/>
          <w:lang w:val="en-US"/>
        </w:rPr>
        <w:t xml:space="preserve">万元，完成年初预算的</w:t>
      </w:r>
      <w:r>
        <w:rPr>
          <w:rFonts w:ascii="仿宋" w:eastAsia="仿宋" w:hAnsi="仿宋" w:hint="eastAsia"/>
          <w:color w:val="000000"/>
          <w:sz w:val="32"/>
          <w:szCs w:val="24"/>
          <w:highlight w:val="none"/>
          <w:lang w:val="en-US" w:eastAsia="zh-CN"/>
        </w:rPr>
        <w:t xml:space="preserve">101.26</w:t>
      </w:r>
      <w:r>
        <w:rPr>
          <w:rFonts w:ascii="仿宋" w:eastAsia="仿宋" w:hAnsi="仿宋" w:hint="eastAsia"/>
          <w:color w:val="000000"/>
          <w:sz w:val="32"/>
          <w:szCs w:val="24"/>
          <w:highlight w:val="none"/>
          <w:lang w:val="en-US"/>
        </w:rPr>
        <w:t xml:space="preserve">%，主要原因</w:t>
      </w:r>
      <w:r>
        <w:rPr>
          <w:rFonts w:ascii="仿宋" w:eastAsia="仿宋" w:hAnsi="仿宋" w:hint="eastAsia"/>
          <w:color w:val="000000"/>
          <w:sz w:val="32"/>
          <w:szCs w:val="24"/>
          <w:highlight w:val="none"/>
          <w:lang w:val="en-US" w:eastAsia="zh-CN"/>
        </w:rPr>
        <w:t xml:space="preserve">是</w:t>
      </w:r>
      <w:r>
        <w:rPr>
          <w:rFonts w:ascii="仿宋" w:eastAsia="仿宋" w:hAnsi="仿宋" w:cs="仿宋" w:hint="eastAsia"/>
          <w:kern w:val="0"/>
          <w:sz w:val="32"/>
          <w:szCs w:val="32"/>
          <w:lang w:val="en-US" w:eastAsia="zh-CN"/>
        </w:rPr>
        <w:t xml:space="preserve">人员增加。</w:t>
      </w:r>
    </w:p>
    <w:p>
      <w:pPr>
        <w:spacing w:beforeLines="0" w:afterLines="0" w:line="600" w:lineRule="exact"/>
        <w:ind w:firstLine="641"/>
        <w:jc w:val="left"/>
        <w:outlineLvl w:val="1"/>
        <w:rPr>
          <w:rFonts w:ascii="黑体" w:eastAsia="黑体" w:hAnsi="黑体" w:hint="eastAsia"/>
          <w:b w:val="0"/>
          <w:bCs/>
          <w:color w:val="000000"/>
          <w:sz w:val="32"/>
          <w:szCs w:val="24"/>
          <w:highlight w:val="none"/>
          <w:lang w:val="en-US" w:eastAsia="zh-CN"/>
        </w:rPr>
      </w:pPr>
      <w:bookmarkStart w:id="40" w:name="_Toc10297"/>
      <w:bookmarkStart w:id="41" w:name="_Toc_1_2_0000000052"/>
      <w:r>
        <w:rPr>
          <w:rFonts w:ascii="黑体" w:eastAsia="黑体" w:hAnsi="宋体" w:cs="黑体" w:hint="eastAsia"/>
          <w:kern w:val="2"/>
          <w:sz w:val="32"/>
          <w:szCs w:val="32"/>
          <w:lang w:val="en-US" w:eastAsia="zh-CN"/>
        </w:rPr>
        <w:t xml:space="preserve">（五）一般公共预算财政拨款支出决算情况说明</w:t>
      </w:r>
      <w:bookmarkEnd w:id="40"/>
      <w:bookmarkEnd w:id="41"/>
    </w:p>
    <w:p>
      <w:pPr>
        <w:spacing w:beforeLines="0" w:afterLines="0" w:line="600" w:lineRule="exact"/>
        <w:ind w:firstLine="606"/>
        <w:outlineLvl w:val="9"/>
        <w:rPr>
          <w:rFonts w:ascii="仿宋" w:eastAsia="仿宋" w:hAnsi="仿宋" w:hint="eastAsia"/>
          <w:color w:val="000000"/>
          <w:sz w:val="32"/>
          <w:szCs w:val="24"/>
          <w:highlight w:val="none"/>
          <w:lang w:val="en-US"/>
        </w:rPr>
      </w:pPr>
      <w:bookmarkStart w:id="42" w:name="_Toc23578"/>
      <w:r>
        <w:rPr>
          <w:rFonts w:ascii="仿宋" w:eastAsia="仿宋" w:hAnsi="仿宋" w:cs="仿宋" w:hint="eastAsia"/>
          <w:kern w:val="2"/>
          <w:sz w:val="32"/>
          <w:szCs w:val="32"/>
          <w:highlight w:val="none"/>
          <w:lang w:val="en-US" w:eastAsia="zh-CN"/>
        </w:rPr>
        <w:t xml:space="preserve">1.一般公共预算财政拨款支出决算总体情况</w:t>
      </w:r>
      <w:bookmarkEnd w:id="42"/>
    </w:p>
    <w:p>
      <w:pPr>
        <w:keepNext w:val="0"/>
        <w:keepLines w:val="0"/>
        <w:widowControl w:val="0"/>
        <w:suppressLineNumbers w:val="0"/>
        <w:spacing w:before="0" w:beforeAutospacing="0" w:after="0" w:afterAutospacing="0"/>
        <w:ind w:left="0" w:right="0" w:firstLine="640" w:firstLineChars="200"/>
        <w:jc w:val="both"/>
        <w:rPr>
          <w:rFonts w:ascii="仿宋" w:eastAsia="仿宋" w:hAnsi="仿宋" w:cs="仿宋" w:hint="eastAsia"/>
          <w:color w:val="000000"/>
          <w:sz w:val="32"/>
          <w:szCs w:val="24"/>
          <w:highlight w:val="none"/>
          <w:lang w:val="en-US"/>
        </w:rPr>
      </w:pPr>
      <w:r>
        <w:rPr>
          <w:rFonts w:ascii="仿宋" w:eastAsia="仿宋" w:hAnsi="仿宋" w:cs="仿宋" w:hint="eastAsia"/>
          <w:kern w:val="2"/>
          <w:sz w:val="32"/>
          <w:szCs w:val="32"/>
          <w:highlight w:val="none"/>
          <w:lang w:val="en-US" w:eastAsia="zh-CN"/>
        </w:rPr>
        <w:t xml:space="preserve">2023年度一般公共预算财政拨款支出1166.34万元，占本年支出合计的97.24%。与2022年相比，一般公共预算财政拨款支出</w:t>
      </w:r>
      <w:r>
        <w:rPr>
          <w:rFonts w:ascii="仿宋" w:eastAsia="仿宋" w:hAnsi="仿宋" w:cs="仿宋" w:hint="eastAsia"/>
          <w:color w:val="auto"/>
          <w:sz w:val="32"/>
          <w:szCs w:val="32"/>
          <w:highlight w:val="none"/>
        </w:rPr>
        <w:t xml:space="preserve">增加30.29万元，增长2.67%</w:t>
      </w:r>
      <w:r>
        <w:rPr>
          <w:rFonts w:ascii="仿宋" w:eastAsia="仿宋" w:hAnsi="仿宋" w:cs="仿宋" w:hint="eastAsia"/>
          <w:kern w:val="2"/>
          <w:sz w:val="32"/>
          <w:szCs w:val="32"/>
          <w:highlight w:val="none"/>
          <w:lang w:val="en-US" w:eastAsia="zh-CN"/>
        </w:rPr>
        <w:t xml:space="preserve">。主要原因是：人员增加。</w:t>
      </w:r>
    </w:p>
    <w:p>
      <w:pPr>
        <w:spacing w:beforeLines="0" w:afterLines="0" w:line="600" w:lineRule="exact"/>
        <w:ind w:firstLine="606"/>
        <w:outlineLvl w:val="9"/>
        <w:rPr>
          <w:rFonts w:ascii="仿宋" w:eastAsia="仿宋" w:hAnsi="仿宋" w:cs="仿宋" w:hint="eastAsia"/>
          <w:color w:val="000000"/>
          <w:sz w:val="32"/>
          <w:szCs w:val="24"/>
          <w:highlight w:val="none"/>
          <w:lang w:val="en-US"/>
        </w:rPr>
      </w:pPr>
      <w:bookmarkStart w:id="43" w:name="_Toc22893"/>
      <w:r>
        <w:rPr>
          <w:rFonts w:ascii="仿宋" w:eastAsia="仿宋" w:hAnsi="仿宋" w:cs="仿宋" w:hint="eastAsia"/>
          <w:kern w:val="2"/>
          <w:sz w:val="32"/>
          <w:szCs w:val="32"/>
          <w:highlight w:val="none"/>
          <w:lang w:val="en-US" w:eastAsia="zh-CN"/>
        </w:rPr>
        <w:t xml:space="preserve">2.一般公共预算财政拨款支出决算结构情况</w:t>
      </w:r>
      <w:bookmarkEnd w:id="43"/>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_GB2312" w:eastAsia="仿宋_GB2312" w:hAnsi="Times New Roman" w:cs="仿宋_GB2312" w:hint="eastAsia"/>
          <w:kern w:val="2"/>
          <w:sz w:val="32"/>
          <w:szCs w:val="32"/>
          <w:highlight w:val="none"/>
          <w:lang w:val="en-US" w:eastAsia="zh-CN"/>
        </w:rPr>
        <w:t xml:space="preserve">2023年度一般公共预算财政拨款支出1166.34万元，主要用于以下方面：</w:t>
      </w:r>
      <w:r>
        <w:rPr>
          <w:rFonts w:ascii="仿宋" w:eastAsia="仿宋" w:hAnsi="仿宋" w:cs="仿宋" w:hint="eastAsia"/>
          <w:kern w:val="2"/>
          <w:sz w:val="32"/>
          <w:szCs w:val="32"/>
          <w:highlight w:val="none"/>
          <w:lang w:val="en-US" w:eastAsia="zh-CN"/>
        </w:rPr>
        <w:t xml:space="preserve">一般公共服务支出（类）917.86万元，占78.70%；社会保障和就业支出（类）129.83万元，占11.13%；卫生健康支出（类）19.34万元，占1.66%；住房保障支出（类）99.31万元，占8.51%</w:t>
      </w:r>
      <w:r>
        <w:rPr>
          <w:rFonts w:ascii="仿宋" w:eastAsia="仿宋" w:hAnsi="仿宋" w:cs="仿宋" w:hint="eastAsia"/>
          <w:kern w:val="2"/>
          <w:sz w:val="32"/>
          <w:szCs w:val="32"/>
          <w:highlight w:val="none"/>
          <w:lang w:val="en-US" w:eastAsia="zh-CN"/>
        </w:rPr>
        <w:t xml:space="preserve">。</w:t>
      </w:r>
    </w:p>
    <w:p>
      <w:pPr>
        <w:spacing w:beforeLines="0" w:afterLines="0" w:line="600" w:lineRule="exact"/>
        <w:ind w:firstLine="606"/>
        <w:outlineLvl w:val="9"/>
        <w:rPr>
          <w:rFonts w:ascii="仿宋" w:eastAsia="仿宋" w:hAnsi="仿宋" w:cs="仿宋" w:hint="eastAsia"/>
          <w:color w:val="000000"/>
          <w:sz w:val="32"/>
          <w:szCs w:val="24"/>
          <w:highlight w:val="none"/>
          <w:lang w:val="en-US"/>
        </w:rPr>
      </w:pPr>
      <w:bookmarkStart w:id="44" w:name="_Toc26641"/>
      <w:r>
        <w:rPr>
          <w:rFonts w:ascii="仿宋" w:eastAsia="仿宋" w:hAnsi="仿宋" w:cs="仿宋" w:hint="eastAsia"/>
          <w:kern w:val="2"/>
          <w:sz w:val="32"/>
          <w:szCs w:val="32"/>
          <w:highlight w:val="none"/>
          <w:lang w:val="en-US" w:eastAsia="zh-CN"/>
        </w:rPr>
        <w:t xml:space="preserve">3.一般公共预算财政拨款支出决算具体情况</w:t>
      </w:r>
      <w:bookmarkEnd w:id="44"/>
    </w:p>
    <w:p>
      <w:pPr>
        <w:spacing w:beforeLines="0" w:afterLines="0" w:line="600" w:lineRule="exact"/>
        <w:ind w:firstLine="640"/>
        <w:rPr>
          <w:rFonts w:ascii="仿宋" w:eastAsia="仿宋" w:hAnsi="仿宋" w:cs="仿宋" w:hint="eastAsia"/>
          <w:kern w:val="0"/>
          <w:sz w:val="32"/>
          <w:szCs w:val="32"/>
          <w:highlight w:val="none"/>
          <w:lang w:val="en-US" w:eastAsia="zh-CN"/>
        </w:rPr>
      </w:pPr>
      <w:r>
        <w:rPr>
          <w:rFonts w:ascii="仿宋" w:eastAsia="仿宋" w:hAnsi="仿宋" w:cs="仿宋" w:hint="eastAsia"/>
          <w:kern w:val="2"/>
          <w:sz w:val="32"/>
          <w:szCs w:val="32"/>
          <w:highlight w:val="none"/>
          <w:lang w:val="en-US" w:eastAsia="zh-CN"/>
        </w:rPr>
        <w:t xml:space="preserve">2023年度一般公共预算财政拨款支出年初预算为1151.78万元，支出决算为1166.34万元</w:t>
      </w:r>
      <w:r>
        <w:rPr>
          <w:rFonts w:ascii="仿宋" w:eastAsia="仿宋" w:hAnsi="仿宋" w:cs="仿宋" w:hint="eastAsia"/>
          <w:kern w:val="2"/>
          <w:sz w:val="32"/>
          <w:szCs w:val="32"/>
          <w:highlight w:val="none"/>
          <w:lang w:val="en-US" w:eastAsia="zh-CN"/>
        </w:rPr>
        <w:t xml:space="preserve">，完成年初预算的101.26%</w:t>
      </w:r>
      <w:r>
        <w:rPr>
          <w:rFonts w:ascii="仿宋" w:eastAsia="仿宋" w:hAnsi="仿宋" w:cs="仿宋" w:hint="eastAsia"/>
          <w:kern w:val="2"/>
          <w:sz w:val="32"/>
          <w:szCs w:val="32"/>
          <w:highlight w:val="none"/>
          <w:lang w:val="en-US" w:eastAsia="zh-CN"/>
        </w:rPr>
        <w:t xml:space="preserve">，主要原因是：人员变动。</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sz w:val="32"/>
          <w:szCs w:val="40"/>
          <w:lang w:val="en-US" w:eastAsia="zh-CN"/>
        </w:rPr>
        <w:t xml:space="preserve">其中：</w:t>
      </w:r>
    </w:p>
    <w:p>
      <w:pPr>
        <w:spacing w:beforeLines="0" w:afterLines="0" w:line="600" w:lineRule="exact"/>
        <w:ind w:firstLine="640"/>
        <w:rPr>
          <w:rFonts w:ascii="仿宋" w:eastAsia="仿宋" w:hAnsi="仿宋" w:cs="仿宋" w:hint="eastAsia"/>
          <w:kern w:val="2"/>
          <w:sz w:val="32"/>
          <w:szCs w:val="32"/>
          <w:highlight w:val="none"/>
          <w:lang w:val="en-US" w:eastAsia="zh-CN"/>
        </w:rPr>
      </w:pPr>
      <w:r>
        <w:rPr>
          <w:rFonts w:ascii="仿宋" w:eastAsia="仿宋" w:hAnsi="仿宋" w:cs="仿宋" w:hint="eastAsia"/>
          <w:b/>
          <w:kern w:val="2"/>
          <w:sz w:val="32"/>
          <w:szCs w:val="32"/>
          <w:highlight w:val="none"/>
          <w:lang w:val="en-US" w:eastAsia="zh-CN"/>
        </w:rPr>
        <w:t xml:space="preserve">一般公共服务支出（类）财政事务（款）行政运行（项）</w:t>
      </w:r>
      <w:r>
        <w:rPr>
          <w:rFonts w:ascii="仿宋" w:eastAsia="仿宋" w:hAnsi="仿宋" w:cs="仿宋" w:hint="eastAsia"/>
          <w:kern w:val="2"/>
          <w:sz w:val="32"/>
          <w:szCs w:val="32"/>
          <w:highlight w:val="none"/>
          <w:lang w:val="en-US" w:eastAsia="zh-CN"/>
        </w:rPr>
        <w:t xml:space="preserve">年初预算数为901.82万元，支出决算数为917.86万元，完成年初预算的101.78%，决算数大于预算数的主要原因是人员增长。</w:t>
      </w:r>
    </w:p>
    <w:p>
      <w:pPr>
        <w:spacing w:beforeLines="0" w:afterLines="0" w:line="600" w:lineRule="exact"/>
        <w:ind w:firstLine="640"/>
        <w:rPr>
          <w:rFonts w:ascii="仿宋" w:eastAsia="仿宋" w:hAnsi="仿宋" w:cs="仿宋" w:hint="eastAsia"/>
          <w:kern w:val="2"/>
          <w:sz w:val="32"/>
          <w:szCs w:val="32"/>
          <w:highlight w:val="none"/>
          <w:lang w:val="en-US" w:eastAsia="zh-CN"/>
        </w:rPr>
      </w:pPr>
      <w:r>
        <w:rPr>
          <w:rFonts w:ascii="仿宋" w:eastAsia="仿宋" w:hAnsi="仿宋" w:cs="仿宋" w:hint="eastAsia"/>
          <w:b/>
          <w:kern w:val="2"/>
          <w:sz w:val="32"/>
          <w:szCs w:val="32"/>
          <w:highlight w:val="none"/>
          <w:lang w:val="en-US" w:eastAsia="zh-CN"/>
        </w:rPr>
        <w:t xml:space="preserve">社会保障和就业支出（类）行政事业单位养老支出（款）机关事业单位基本养老保险缴费支出（项）</w:t>
      </w:r>
      <w:r>
        <w:rPr>
          <w:rFonts w:ascii="仿宋" w:eastAsia="仿宋" w:hAnsi="仿宋" w:cs="仿宋" w:hint="eastAsia"/>
          <w:kern w:val="2"/>
          <w:sz w:val="32"/>
          <w:szCs w:val="32"/>
          <w:highlight w:val="none"/>
          <w:lang w:val="en-US" w:eastAsia="zh-CN"/>
        </w:rPr>
        <w:t xml:space="preserve">年初预算数为76.23万元，支出决算数为74.54万元，完成年初预算的97.78%，决算数小于预算数的主要原因是基本养老保险基数调整。</w:t>
      </w:r>
    </w:p>
    <w:p>
      <w:pPr>
        <w:spacing w:beforeLines="0" w:afterLines="0" w:line="600" w:lineRule="exact"/>
        <w:ind w:firstLine="640"/>
        <w:rPr>
          <w:rFonts w:ascii="仿宋" w:eastAsia="仿宋" w:hAnsi="仿宋" w:cs="仿宋" w:hint="eastAsia"/>
          <w:kern w:val="2"/>
          <w:sz w:val="32"/>
          <w:szCs w:val="32"/>
          <w:highlight w:val="none"/>
          <w:lang w:val="en-US" w:eastAsia="zh-CN"/>
        </w:rPr>
      </w:pPr>
      <w:r>
        <w:rPr>
          <w:rFonts w:ascii="仿宋" w:eastAsia="仿宋" w:hAnsi="仿宋" w:cs="仿宋" w:hint="eastAsia"/>
          <w:b/>
          <w:kern w:val="2"/>
          <w:sz w:val="32"/>
          <w:szCs w:val="32"/>
          <w:highlight w:val="none"/>
          <w:lang w:val="en-US" w:eastAsia="zh-CN"/>
        </w:rPr>
        <w:t xml:space="preserve">社会保障和就业支出（类）行政事业单位养老支出（款）机关事业单位职业年金缴费支出（项）</w:t>
      </w:r>
      <w:r>
        <w:rPr>
          <w:rFonts w:ascii="仿宋" w:eastAsia="仿宋" w:hAnsi="仿宋" w:cs="仿宋" w:hint="eastAsia"/>
          <w:kern w:val="2"/>
          <w:sz w:val="32"/>
          <w:szCs w:val="32"/>
          <w:highlight w:val="none"/>
          <w:lang w:val="en-US" w:eastAsia="zh-CN"/>
        </w:rPr>
        <w:t xml:space="preserve">年初预算数为38.12万元，支出决算数为37.27万元，完成年初预算的97.77%，决算数小于预算数的主要原因职业年金基数调整。</w:t>
      </w:r>
    </w:p>
    <w:p>
      <w:pPr>
        <w:spacing w:beforeLines="0" w:afterLines="0" w:line="600" w:lineRule="exact"/>
        <w:ind w:firstLine="640"/>
        <w:rPr>
          <w:rFonts w:ascii="仿宋" w:eastAsia="仿宋" w:hAnsi="仿宋" w:cs="仿宋" w:hint="eastAsia"/>
          <w:kern w:val="2"/>
          <w:sz w:val="32"/>
          <w:szCs w:val="32"/>
          <w:highlight w:val="none"/>
          <w:lang w:val="en-US" w:eastAsia="zh-CN"/>
        </w:rPr>
      </w:pPr>
      <w:r>
        <w:rPr>
          <w:rFonts w:ascii="仿宋" w:eastAsia="仿宋" w:hAnsi="仿宋" w:cs="仿宋" w:hint="eastAsia"/>
          <w:b/>
          <w:kern w:val="2"/>
          <w:sz w:val="32"/>
          <w:szCs w:val="32"/>
          <w:highlight w:val="none"/>
          <w:lang w:val="en-US" w:eastAsia="zh-CN"/>
        </w:rPr>
        <w:t xml:space="preserve">社会保障和就业支出（类）行政事业单位养老支出（款）其他行政事业单位养老支出（项）</w:t>
      </w:r>
      <w:r>
        <w:rPr>
          <w:rFonts w:ascii="仿宋" w:eastAsia="仿宋" w:hAnsi="仿宋" w:cs="仿宋" w:hint="eastAsia"/>
          <w:kern w:val="2"/>
          <w:sz w:val="32"/>
          <w:szCs w:val="32"/>
          <w:highlight w:val="none"/>
          <w:lang w:val="en-US" w:eastAsia="zh-CN"/>
        </w:rPr>
        <w:t xml:space="preserve">年初预算数为18.44万元，支出决算数为18.02万元，完成年初预算的97.70%，决算数小于预算数的主要原因是严控活动经费。</w:t>
      </w:r>
    </w:p>
    <w:p>
      <w:pPr>
        <w:spacing w:beforeLines="0" w:afterLines="0" w:line="600" w:lineRule="exact"/>
        <w:ind w:firstLine="640"/>
        <w:rPr>
          <w:rFonts w:ascii="仿宋" w:eastAsia="仿宋" w:hAnsi="仿宋" w:cs="仿宋" w:hint="eastAsia"/>
          <w:kern w:val="2"/>
          <w:sz w:val="32"/>
          <w:szCs w:val="32"/>
          <w:highlight w:val="none"/>
          <w:lang w:val="en-US" w:eastAsia="zh-CN"/>
        </w:rPr>
      </w:pPr>
      <w:r>
        <w:rPr>
          <w:rFonts w:ascii="仿宋" w:eastAsia="仿宋" w:hAnsi="仿宋" w:cs="仿宋" w:hint="eastAsia"/>
          <w:b/>
          <w:kern w:val="2"/>
          <w:sz w:val="32"/>
          <w:szCs w:val="32"/>
          <w:highlight w:val="none"/>
          <w:lang w:val="en-US" w:eastAsia="zh-CN"/>
        </w:rPr>
        <w:t xml:space="preserve">卫生健康支出（类）行政事业单位医疗（款）其他行政事业单位医疗支出（项）</w:t>
      </w:r>
      <w:r>
        <w:rPr>
          <w:rFonts w:ascii="仿宋" w:eastAsia="仿宋" w:hAnsi="仿宋" w:cs="仿宋" w:hint="eastAsia"/>
          <w:kern w:val="2"/>
          <w:sz w:val="32"/>
          <w:szCs w:val="32"/>
          <w:highlight w:val="none"/>
          <w:lang w:val="en-US" w:eastAsia="zh-CN"/>
        </w:rPr>
        <w:t xml:space="preserve">年初预算数为17.15万元，支出决算数为19.34万元，完成年初预算的112.80%，决算数大于预算数的主要原因在职人员调整。</w:t>
      </w:r>
    </w:p>
    <w:p>
      <w:pPr>
        <w:spacing w:beforeLines="0" w:afterLines="0" w:line="600" w:lineRule="exact"/>
        <w:ind w:firstLine="640"/>
        <w:rPr>
          <w:rFonts w:ascii="仿宋" w:eastAsia="仿宋" w:hAnsi="仿宋" w:cs="仿宋" w:hint="eastAsia"/>
          <w:kern w:val="2"/>
          <w:sz w:val="32"/>
          <w:szCs w:val="32"/>
          <w:highlight w:val="none"/>
          <w:lang w:val="en-US" w:eastAsia="zh-CN"/>
        </w:rPr>
      </w:pPr>
      <w:r>
        <w:rPr>
          <w:rFonts w:ascii="仿宋" w:eastAsia="仿宋" w:hAnsi="仿宋" w:cs="仿宋" w:hint="eastAsia"/>
          <w:b/>
          <w:kern w:val="2"/>
          <w:sz w:val="32"/>
          <w:szCs w:val="32"/>
          <w:highlight w:val="none"/>
          <w:lang w:val="en-US" w:eastAsia="zh-CN"/>
        </w:rPr>
        <w:t xml:space="preserve">住房保障支出（类）住房改革支出（款）住房公积金（项）</w:t>
      </w:r>
      <w:r>
        <w:rPr>
          <w:rFonts w:ascii="仿宋" w:eastAsia="仿宋" w:hAnsi="仿宋" w:cs="仿宋" w:hint="eastAsia"/>
          <w:kern w:val="2"/>
          <w:sz w:val="32"/>
          <w:szCs w:val="32"/>
          <w:highlight w:val="none"/>
          <w:lang w:val="en-US" w:eastAsia="zh-CN"/>
        </w:rPr>
        <w:t xml:space="preserve">年初预算数为100.02万元，支出决算数为99.31万元，完成年初预算的99.29%，决算数小于预算数的主要原因住房公积金基数调整。</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outlineLvl w:val="9"/>
        <w:rPr>
          <w:rFonts w:ascii="仿宋_GB2312" w:eastAsia="仿宋_GB2312" w:hAnsi="Times New Roman" w:cs="仿宋_GB2312" w:hint="eastAsia"/>
          <w:kern w:val="2"/>
          <w:sz w:val="32"/>
          <w:szCs w:val="32"/>
          <w:highlight w:val="none"/>
          <w:lang w:val="en-US" w:eastAsia="zh-CN"/>
        </w:rPr>
      </w:pP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45" w:name="_Toc_1_2_0000000053"/>
      <w:r>
        <w:rPr>
          <w:rFonts w:ascii="黑体" w:eastAsia="黑体" w:hAnsi="宋体" w:cs="黑体" w:hint="eastAsia"/>
          <w:kern w:val="2"/>
          <w:sz w:val="32"/>
          <w:szCs w:val="32"/>
          <w:lang w:val="en-US" w:eastAsia="zh-CN"/>
        </w:rPr>
        <w:t xml:space="preserve">（六）一般公共预算财政拨款基本支出决算情况说明</w:t>
      </w:r>
      <w:bookmarkEnd w:id="45"/>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kern w:val="2"/>
          <w:sz w:val="32"/>
          <w:szCs w:val="32"/>
          <w:highlight w:val="none"/>
          <w:lang w:val="en-US" w:eastAsia="zh-CN"/>
        </w:rPr>
        <w:t xml:space="preserve">2023年度一般公共预算财政拨款基本支出1166.34万元，其中：</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kern w:val="2"/>
          <w:sz w:val="32"/>
          <w:szCs w:val="32"/>
          <w:highlight w:val="none"/>
          <w:lang w:val="en-US" w:eastAsia="zh-CN"/>
        </w:rPr>
        <w:t xml:space="preserve">人员经费1074.80万元，主要包括：</w:t>
      </w:r>
      <w:r>
        <w:rPr>
          <w:rFonts w:ascii="仿宋" w:eastAsia="仿宋" w:hAnsi="仿宋" w:cs="仿宋" w:hint="eastAsia"/>
          <w:kern w:val="2"/>
          <w:sz w:val="32"/>
          <w:szCs w:val="32"/>
          <w:highlight w:val="none"/>
          <w:lang w:val="en-US" w:eastAsia="zh-CN"/>
        </w:rPr>
        <w:t xml:space="preserve">基本工资、津贴补贴、奖金、机关事业单位基本养老保险缴费、职业年金缴费、职工基本医疗保险缴费、公务员医疗补助缴费、其他社会保障缴费、住房公积金、医疗费、其他工资福利支出、培训费、工会经费、退休费、医疗费补助、其他对个人和家庭的补助。</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kern w:val="2"/>
          <w:sz w:val="32"/>
          <w:szCs w:val="32"/>
          <w:highlight w:val="none"/>
          <w:lang w:val="en-US" w:eastAsia="zh-CN"/>
        </w:rPr>
        <w:t xml:space="preserve">公用经费91.55万元，主要包括：</w:t>
      </w:r>
      <w:r>
        <w:rPr>
          <w:rFonts w:ascii="仿宋" w:eastAsia="仿宋" w:hAnsi="仿宋" w:cs="仿宋" w:hint="eastAsia"/>
          <w:kern w:val="2"/>
          <w:sz w:val="32"/>
          <w:szCs w:val="32"/>
          <w:highlight w:val="none"/>
          <w:lang w:val="en-US" w:eastAsia="zh-CN"/>
        </w:rPr>
        <w:t xml:space="preserve">办公费、印刷费、邮电费、差旅费、维修（护）费、会议费、培训费、公务接待费、劳务费、福利费、其他交通费用、其他商品和服务支出、办公设备购置。</w:t>
      </w:r>
    </w:p>
    <w:p>
      <w:pPr>
        <w:spacing w:beforeLines="0" w:afterLines="0" w:line="600" w:lineRule="exact"/>
        <w:ind w:firstLine="640" w:firstLineChars="200"/>
        <w:outlineLvl w:val="1"/>
        <w:rPr>
          <w:rFonts w:ascii="仿宋" w:eastAsia="仿宋" w:hAnsi="仿宋" w:hint="eastAsia"/>
          <w:b w:val="0"/>
          <w:bCs/>
          <w:color w:val="000000"/>
          <w:sz w:val="32"/>
          <w:szCs w:val="24"/>
          <w:highlight w:val="none"/>
          <w:lang w:val="en-US"/>
        </w:rPr>
      </w:pPr>
      <w:bookmarkStart w:id="46" w:name="_Toc25082"/>
      <w:bookmarkStart w:id="47" w:name="_Toc_1_2_0000000054"/>
      <w:r>
        <w:rPr>
          <w:rFonts w:ascii="黑体" w:eastAsia="黑体" w:hAnsi="宋体" w:cs="黑体" w:hint="eastAsia"/>
          <w:kern w:val="2"/>
          <w:sz w:val="32"/>
          <w:szCs w:val="32"/>
          <w:lang w:val="en-US" w:eastAsia="zh-CN"/>
        </w:rPr>
        <w:t xml:space="preserve">（七）政府性基金预算财政拨款支出决算总体情况说明</w:t>
      </w:r>
      <w:bookmarkEnd w:id="46"/>
      <w:bookmarkEnd w:id="47"/>
    </w:p>
    <w:p>
      <w:pPr>
        <w:spacing w:beforeLines="0" w:afterLines="0" w:line="600" w:lineRule="exact"/>
        <w:ind w:firstLine="640"/>
        <w:rPr>
          <w:rFonts w:ascii="仿宋" w:eastAsia="仿宋" w:hAnsi="仿宋" w:cs="仿宋" w:hint="eastAsia"/>
          <w:kern w:val="2"/>
          <w:sz w:val="32"/>
          <w:szCs w:val="32"/>
          <w:highlight w:val="none"/>
          <w:lang w:val="en-US" w:eastAsia="zh-CN"/>
        </w:rPr>
      </w:pPr>
      <w:bookmarkStart w:id="48" w:name="_Toc15115"/>
      <w:r>
        <w:rPr>
          <w:rFonts w:ascii="仿宋_GB2312" w:eastAsia="仿宋_GB2312" w:hAnsi="Times New Roman" w:cs="仿宋_GB2312" w:hint="eastAsia"/>
          <w:kern w:val="2"/>
          <w:sz w:val="32"/>
          <w:szCs w:val="32"/>
          <w:highlight w:val="none"/>
          <w:lang w:val="en-US" w:eastAsia="zh-CN"/>
        </w:rPr>
        <w:t xml:space="preserve"> </w:t>
      </w:r>
      <w:r>
        <w:rPr>
          <w:rFonts w:ascii="仿宋" w:eastAsia="仿宋" w:hAnsi="仿宋" w:cs="仿宋" w:hint="eastAsia"/>
          <w:kern w:val="2"/>
          <w:sz w:val="32"/>
          <w:szCs w:val="32"/>
          <w:highlight w:val="none"/>
          <w:lang w:val="en-US" w:eastAsia="zh-CN"/>
        </w:rPr>
        <w:t xml:space="preserve">本单位2023年度无政府性基金预算财政拨款收支安排，故无相关数据。</w:t>
      </w:r>
    </w:p>
    <w:p>
      <w:pPr>
        <w:spacing w:beforeLines="0" w:afterLines="0" w:line="600" w:lineRule="exact"/>
        <w:ind w:firstLine="594"/>
        <w:outlineLvl w:val="1"/>
        <w:rPr>
          <w:rFonts w:ascii="仿宋" w:eastAsia="仿宋" w:hAnsi="仿宋" w:hint="eastAsia"/>
          <w:b w:val="0"/>
          <w:bCs/>
          <w:color w:val="000000"/>
          <w:sz w:val="32"/>
          <w:szCs w:val="24"/>
          <w:highlight w:val="none"/>
          <w:lang w:val="en-US"/>
        </w:rPr>
      </w:pPr>
      <w:bookmarkStart w:id="49" w:name="_Toc_1_2_0000000055"/>
      <w:r>
        <w:rPr>
          <w:rFonts w:ascii="黑体" w:eastAsia="黑体" w:hAnsi="宋体" w:cs="黑体" w:hint="eastAsia"/>
          <w:kern w:val="2"/>
          <w:sz w:val="32"/>
          <w:szCs w:val="32"/>
          <w:lang w:val="en-US" w:eastAsia="zh-CN"/>
        </w:rPr>
        <w:t xml:space="preserve">（八）国有资本经营预算财政拨款支出决算总体情况说明</w:t>
      </w:r>
      <w:bookmarkEnd w:id="48"/>
      <w:bookmarkEnd w:id="49"/>
    </w:p>
    <w:p>
      <w:pPr>
        <w:spacing w:beforeLines="0" w:afterLines="0" w:line="600" w:lineRule="exact"/>
        <w:ind w:firstLine="640"/>
        <w:rPr>
          <w:rFonts w:ascii="仿宋" w:eastAsia="仿宋" w:hAnsi="仿宋" w:cs="仿宋" w:hint="eastAsia"/>
          <w:b w:val="0"/>
          <w:bCs/>
          <w:color w:val="000000"/>
          <w:sz w:val="32"/>
          <w:szCs w:val="24"/>
          <w:highlight w:val="none"/>
          <w:lang w:val="en-US"/>
        </w:rPr>
      </w:pPr>
      <w:r>
        <w:rPr>
          <w:rFonts w:ascii="仿宋" w:eastAsia="仿宋" w:hAnsi="仿宋" w:cs="仿宋" w:hint="eastAsia"/>
          <w:kern w:val="2"/>
          <w:sz w:val="32"/>
          <w:szCs w:val="32"/>
          <w:highlight w:val="none"/>
          <w:lang w:val="en-US" w:eastAsia="zh-CN"/>
        </w:rPr>
        <w:t xml:space="preserve">本单位2023年度无国有资本经营预算财政拨款收支安排，故无相关数据。</w:t>
      </w:r>
    </w:p>
    <w:p>
      <w:pPr>
        <w:spacing w:beforeLines="0" w:afterLines="0" w:line="600" w:lineRule="exact"/>
        <w:ind w:firstLine="641"/>
        <w:jc w:val="left"/>
        <w:outlineLvl w:val="1"/>
        <w:rPr>
          <w:rFonts w:ascii="楷体" w:eastAsia="楷体" w:hAnsi="楷体" w:hint="eastAsia"/>
          <w:b/>
          <w:color w:val="000000"/>
          <w:sz w:val="32"/>
          <w:szCs w:val="24"/>
          <w:highlight w:val="none"/>
          <w:lang w:val="en-US"/>
        </w:rPr>
      </w:pPr>
      <w:bookmarkStart w:id="50" w:name="_Toc16928"/>
      <w:bookmarkStart w:id="51" w:name="_Toc_1_2_0000000056"/>
      <w:r>
        <w:rPr>
          <w:rFonts w:ascii="黑体" w:eastAsia="黑体" w:hAnsi="宋体" w:cs="黑体" w:hint="eastAsia"/>
          <w:kern w:val="2"/>
          <w:sz w:val="32"/>
          <w:szCs w:val="32"/>
          <w:lang w:val="en-US" w:eastAsia="zh-CN"/>
        </w:rPr>
        <w:t xml:space="preserve">（九）财政拨款“三公”经费支出决算情况说明</w:t>
      </w:r>
      <w:bookmarkEnd w:id="50"/>
      <w:bookmarkEnd w:id="51"/>
    </w:p>
    <w:p>
      <w:pPr>
        <w:spacing w:beforeLines="0" w:afterLines="0" w:line="600" w:lineRule="exact"/>
        <w:ind w:firstLine="594"/>
        <w:outlineLvl w:val="9"/>
        <w:rPr>
          <w:rFonts w:ascii="仿宋" w:eastAsia="仿宋" w:hAnsi="仿宋" w:cs="仿宋" w:hint="eastAsia"/>
          <w:b/>
          <w:color w:val="000000"/>
          <w:sz w:val="32"/>
          <w:szCs w:val="24"/>
          <w:highlight w:val="none"/>
          <w:lang w:val="en-US"/>
        </w:rPr>
      </w:pPr>
      <w:bookmarkStart w:id="52" w:name="_Toc15682"/>
      <w:r>
        <w:rPr>
          <w:rFonts w:ascii="仿宋" w:eastAsia="仿宋" w:hAnsi="仿宋" w:cs="仿宋" w:hint="eastAsia"/>
          <w:b/>
          <w:color w:val="000000"/>
          <w:sz w:val="32"/>
          <w:szCs w:val="24"/>
          <w:highlight w:val="none"/>
          <w:lang w:val="en-US"/>
        </w:rPr>
        <w:t xml:space="preserve">1.“三公”经费财政拨款支出决算总体情况说明</w:t>
      </w:r>
      <w:bookmarkEnd w:id="52"/>
    </w:p>
    <w:p>
      <w:pPr>
        <w:spacing w:beforeLines="0" w:afterLines="0" w:line="600" w:lineRule="exact"/>
        <w:ind w:firstLine="594"/>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eastAsia="zh-CN"/>
        </w:rPr>
        <w:t xml:space="preserve">2023</w:t>
      </w:r>
      <w:r>
        <w:rPr>
          <w:rFonts w:ascii="仿宋" w:eastAsia="仿宋" w:hAnsi="仿宋" w:cs="仿宋" w:hint="eastAsia"/>
          <w:color w:val="000000"/>
          <w:sz w:val="32"/>
          <w:szCs w:val="24"/>
          <w:highlight w:val="none"/>
          <w:lang w:val="en-US"/>
        </w:rPr>
        <w:t xml:space="preserve">年度“三公”经费财政拨款支出全年预算为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万元，支出决算为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w:t>
      </w:r>
      <w:r>
        <w:rPr>
          <w:rFonts w:ascii="仿宋" w:eastAsia="仿宋" w:hAnsi="仿宋" w:cs="仿宋" w:hint="eastAsia"/>
          <w:color w:val="000000"/>
          <w:sz w:val="32"/>
          <w:szCs w:val="24"/>
          <w:highlight w:val="none"/>
          <w:lang w:val="en-US" w:eastAsia="zh-CN"/>
        </w:rPr>
        <w:t xml:space="preserve">，2023</w:t>
      </w:r>
      <w:r>
        <w:rPr>
          <w:rFonts w:ascii="仿宋" w:eastAsia="仿宋" w:hAnsi="仿宋" w:cs="仿宋" w:hint="eastAsia"/>
          <w:color w:val="000000"/>
          <w:sz w:val="32"/>
          <w:szCs w:val="24"/>
          <w:highlight w:val="none"/>
          <w:lang w:val="en-US"/>
        </w:rPr>
        <w:t xml:space="preserve">年度“三公”经费支出决算数</w:t>
      </w:r>
      <w:r>
        <w:rPr>
          <w:rFonts w:ascii="仿宋" w:eastAsia="仿宋" w:hAnsi="仿宋" w:cs="仿宋" w:hint="eastAsia"/>
          <w:color w:val="auto"/>
          <w:sz w:val="32"/>
          <w:szCs w:val="32"/>
          <w:highlight w:val="none"/>
        </w:rPr>
        <w:t xml:space="preserve">等于</w:t>
      </w:r>
      <w:r>
        <w:rPr>
          <w:rFonts w:ascii="仿宋" w:eastAsia="仿宋" w:hAnsi="仿宋" w:cs="仿宋" w:hint="eastAsia"/>
          <w:color w:val="000000"/>
          <w:sz w:val="32"/>
          <w:szCs w:val="24"/>
          <w:highlight w:val="none"/>
          <w:lang w:val="en-US"/>
        </w:rPr>
        <w:t xml:space="preserve">全年预算数的主要原因是</w:t>
      </w:r>
      <w:r>
        <w:rPr>
          <w:rFonts w:ascii="仿宋" w:eastAsia="仿宋" w:hAnsi="仿宋" w:cs="仿宋" w:hint="eastAsia"/>
          <w:kern w:val="0"/>
          <w:sz w:val="32"/>
          <w:szCs w:val="32"/>
          <w:lang w:val="en-US" w:eastAsia="zh-CN"/>
        </w:rPr>
        <w:t xml:space="preserve">本年度未发生“三公”经费支出，年终核减使本年度预算为0。</w:t>
      </w:r>
    </w:p>
    <w:p>
      <w:pPr>
        <w:spacing w:beforeLines="0" w:afterLines="0" w:line="600" w:lineRule="exact"/>
        <w:ind w:firstLine="594"/>
        <w:outlineLvl w:val="9"/>
        <w:rPr>
          <w:rFonts w:ascii="仿宋" w:eastAsia="仿宋" w:hAnsi="仿宋" w:cs="仿宋" w:hint="eastAsia"/>
          <w:b/>
          <w:color w:val="000000"/>
          <w:sz w:val="32"/>
          <w:szCs w:val="24"/>
          <w:highlight w:val="none"/>
          <w:lang w:val="en-US"/>
        </w:rPr>
      </w:pPr>
      <w:bookmarkStart w:id="53" w:name="_Toc29857"/>
      <w:r>
        <w:rPr>
          <w:rFonts w:ascii="仿宋" w:eastAsia="仿宋" w:hAnsi="仿宋" w:cs="仿宋" w:hint="eastAsia"/>
          <w:b/>
          <w:color w:val="000000"/>
          <w:sz w:val="32"/>
          <w:szCs w:val="24"/>
          <w:highlight w:val="none"/>
          <w:lang w:val="en-US"/>
        </w:rPr>
        <w:t xml:space="preserve">2.“三公”经费财政拨款支出决算具体情况说明</w:t>
      </w:r>
      <w:bookmarkEnd w:id="53"/>
    </w:p>
    <w:p>
      <w:pPr>
        <w:keepNext w:val="0"/>
        <w:keepLines w:val="0"/>
        <w:widowControl w:val="0"/>
        <w:suppressLineNumbers w:val="0"/>
        <w:spacing w:before="0" w:beforeAutospacing="0" w:after="0" w:afterAutospacing="0"/>
        <w:ind w:left="0" w:right="0" w:firstLine="640" w:firstLineChars="200"/>
        <w:jc w:val="both"/>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eastAsia="zh-CN"/>
        </w:rPr>
        <w:t xml:space="preserve">2023</w:t>
      </w:r>
      <w:r>
        <w:rPr>
          <w:rFonts w:ascii="仿宋" w:eastAsia="仿宋" w:hAnsi="仿宋" w:cs="仿宋" w:hint="eastAsia"/>
          <w:color w:val="000000"/>
          <w:sz w:val="32"/>
          <w:szCs w:val="24"/>
          <w:highlight w:val="none"/>
          <w:lang w:val="en-US"/>
        </w:rPr>
        <w:t xml:space="preserve">年度“三公”经费财政拨款支出决算中，因公出国（境）费用支出决算为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万元，占</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%，与</w:t>
      </w:r>
      <w:r>
        <w:rPr>
          <w:rFonts w:ascii="仿宋" w:eastAsia="仿宋" w:hAnsi="仿宋" w:cs="仿宋" w:hint="eastAsia"/>
          <w:color w:val="000000"/>
          <w:sz w:val="32"/>
          <w:szCs w:val="24"/>
          <w:highlight w:val="none"/>
          <w:lang w:val="en-US" w:eastAsia="zh-CN"/>
        </w:rPr>
        <w:t xml:space="preserve">2022</w:t>
      </w:r>
      <w:r>
        <w:rPr>
          <w:rFonts w:ascii="仿宋" w:eastAsia="仿宋" w:hAnsi="仿宋" w:cs="仿宋" w:hint="eastAsia"/>
          <w:color w:val="000000"/>
          <w:sz w:val="32"/>
          <w:szCs w:val="24"/>
          <w:highlight w:val="none"/>
          <w:lang w:val="en-US"/>
        </w:rPr>
        <w:t xml:space="preserve">年度相比，</w:t>
      </w:r>
      <w:r>
        <w:rPr>
          <w:rFonts w:ascii="仿宋" w:eastAsia="仿宋" w:hAnsi="仿宋" w:cs="仿宋" w:hint="eastAsia"/>
          <w:color w:val="auto"/>
          <w:sz w:val="32"/>
          <w:szCs w:val="32"/>
          <w:highlight w:val="none"/>
        </w:rPr>
        <w:t xml:space="preserve">增加0.00万元</w:t>
      </w:r>
      <w:r>
        <w:rPr>
          <w:rFonts w:ascii="仿宋" w:eastAsia="仿宋" w:hAnsi="仿宋" w:cs="仿宋" w:hint="eastAsia"/>
          <w:color w:val="000000"/>
          <w:sz w:val="32"/>
          <w:szCs w:val="24"/>
          <w:highlight w:val="none"/>
          <w:lang w:val="en-US"/>
        </w:rPr>
        <w:t xml:space="preserve">，主要原因是</w:t>
      </w:r>
      <w:r>
        <w:rPr>
          <w:rFonts w:ascii="仿宋" w:eastAsia="仿宋" w:hAnsi="仿宋" w:cs="仿宋" w:hint="eastAsia"/>
          <w:kern w:val="0"/>
          <w:sz w:val="32"/>
          <w:szCs w:val="32"/>
          <w:highlight w:val="none"/>
          <w:lang w:val="en-US" w:eastAsia="zh-CN"/>
        </w:rPr>
        <w:t xml:space="preserve">无出入境需求</w:t>
      </w:r>
      <w:r>
        <w:rPr>
          <w:rFonts w:ascii="仿宋" w:eastAsia="仿宋" w:hAnsi="仿宋" w:cs="仿宋" w:hint="eastAsia"/>
          <w:color w:val="000000"/>
          <w:sz w:val="32"/>
          <w:szCs w:val="24"/>
          <w:highlight w:val="none"/>
          <w:lang w:val="en-US"/>
        </w:rPr>
        <w:t xml:space="preserve">；公务用车购置及运行维护费支出决算为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万元，占</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%，与</w:t>
      </w:r>
      <w:r>
        <w:rPr>
          <w:rFonts w:ascii="仿宋" w:eastAsia="仿宋" w:hAnsi="仿宋" w:cs="仿宋" w:hint="eastAsia"/>
          <w:color w:val="000000"/>
          <w:sz w:val="32"/>
          <w:szCs w:val="24"/>
          <w:highlight w:val="none"/>
          <w:lang w:val="en-US" w:eastAsia="zh-CN"/>
        </w:rPr>
        <w:t xml:space="preserve">2022</w:t>
      </w:r>
      <w:r>
        <w:rPr>
          <w:rFonts w:ascii="仿宋" w:eastAsia="仿宋" w:hAnsi="仿宋" w:cs="仿宋" w:hint="eastAsia"/>
          <w:color w:val="000000"/>
          <w:sz w:val="32"/>
          <w:szCs w:val="24"/>
          <w:highlight w:val="none"/>
          <w:lang w:val="en-US"/>
        </w:rPr>
        <w:t xml:space="preserve">年度相比，</w:t>
      </w:r>
      <w:r>
        <w:rPr>
          <w:rFonts w:ascii="仿宋" w:eastAsia="仿宋" w:hAnsi="仿宋" w:cs="仿宋" w:hint="eastAsia"/>
          <w:color w:val="auto"/>
          <w:sz w:val="32"/>
          <w:szCs w:val="32"/>
          <w:highlight w:val="none"/>
        </w:rPr>
        <w:t xml:space="preserve">增加0.00万元</w:t>
      </w:r>
      <w:r>
        <w:rPr>
          <w:rFonts w:ascii="仿宋" w:eastAsia="仿宋" w:hAnsi="仿宋" w:cs="仿宋" w:hint="eastAsia"/>
          <w:color w:val="000000"/>
          <w:sz w:val="32"/>
          <w:szCs w:val="24"/>
          <w:highlight w:val="none"/>
          <w:lang w:val="en-US"/>
        </w:rPr>
        <w:t xml:space="preserve">，主要原因是</w:t>
      </w:r>
      <w:r>
        <w:rPr>
          <w:rFonts w:ascii="仿宋" w:eastAsia="仿宋" w:hAnsi="仿宋" w:cs="仿宋" w:hint="eastAsia"/>
          <w:kern w:val="0"/>
          <w:sz w:val="32"/>
          <w:szCs w:val="32"/>
          <w:lang w:val="en-US" w:eastAsia="zh-CN"/>
        </w:rPr>
        <w:t xml:space="preserve">无公务用车购置需求</w:t>
      </w:r>
      <w:r>
        <w:rPr>
          <w:rFonts w:ascii="仿宋" w:eastAsia="仿宋" w:hAnsi="仿宋" w:cs="仿宋" w:hint="eastAsia"/>
          <w:color w:val="000000"/>
          <w:sz w:val="32"/>
          <w:szCs w:val="24"/>
          <w:highlight w:val="none"/>
          <w:lang w:val="en-US"/>
        </w:rPr>
        <w:t xml:space="preserve">；公务接待费支出决算为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万元，占</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%，与</w:t>
      </w:r>
      <w:r>
        <w:rPr>
          <w:rFonts w:ascii="仿宋" w:eastAsia="仿宋" w:hAnsi="仿宋" w:cs="仿宋" w:hint="eastAsia"/>
          <w:color w:val="000000"/>
          <w:sz w:val="32"/>
          <w:szCs w:val="24"/>
          <w:highlight w:val="none"/>
          <w:lang w:val="en-US" w:eastAsia="zh-CN"/>
        </w:rPr>
        <w:t xml:space="preserve">2022</w:t>
      </w:r>
      <w:r>
        <w:rPr>
          <w:rFonts w:ascii="仿宋" w:eastAsia="仿宋" w:hAnsi="仿宋" w:cs="仿宋" w:hint="eastAsia"/>
          <w:color w:val="000000"/>
          <w:sz w:val="32"/>
          <w:szCs w:val="24"/>
          <w:highlight w:val="none"/>
          <w:lang w:val="en-US"/>
        </w:rPr>
        <w:t xml:space="preserve">年度相比，</w:t>
      </w:r>
      <w:r>
        <w:rPr>
          <w:rFonts w:ascii="仿宋" w:eastAsia="仿宋" w:hAnsi="仿宋" w:cs="仿宋" w:hint="eastAsia"/>
          <w:color w:val="auto"/>
          <w:sz w:val="32"/>
          <w:szCs w:val="32"/>
          <w:highlight w:val="none"/>
        </w:rPr>
        <w:t xml:space="preserve">减少0.22万元，下降100.00%</w:t>
      </w:r>
      <w:r>
        <w:rPr>
          <w:rFonts w:ascii="仿宋" w:eastAsia="仿宋" w:hAnsi="仿宋" w:cs="仿宋" w:hint="eastAsia"/>
          <w:color w:val="000000"/>
          <w:sz w:val="32"/>
          <w:szCs w:val="24"/>
          <w:highlight w:val="none"/>
          <w:lang w:val="en-US"/>
        </w:rPr>
        <w:t xml:space="preserve">，主要原因是</w:t>
      </w:r>
      <w:r>
        <w:rPr>
          <w:rFonts w:ascii="仿宋" w:eastAsia="仿宋" w:hAnsi="仿宋" w:cs="仿宋" w:hint="eastAsia"/>
          <w:kern w:val="0"/>
          <w:sz w:val="32"/>
          <w:szCs w:val="32"/>
          <w:lang w:val="en-US" w:eastAsia="zh-CN"/>
        </w:rPr>
        <w:t xml:space="preserve">厉行节约，减少接待。</w:t>
      </w:r>
      <w:r>
        <w:rPr>
          <w:rFonts w:ascii="仿宋" w:eastAsia="仿宋" w:hAnsi="仿宋" w:cs="仿宋" w:hint="eastAsia"/>
          <w:color w:val="000000"/>
          <w:sz w:val="32"/>
          <w:szCs w:val="24"/>
          <w:highlight w:val="none"/>
          <w:lang w:val="en-US"/>
        </w:rPr>
        <w:t xml:space="preserve">具体情况如下：</w:t>
      </w:r>
    </w:p>
    <w:p>
      <w:pPr>
        <w:spacing w:beforeLines="0" w:afterLines="0" w:line="600" w:lineRule="exact"/>
        <w:ind w:firstLine="641"/>
        <w:rPr>
          <w:rFonts w:ascii="仿宋" w:eastAsia="仿宋" w:hAnsi="仿宋" w:cs="仿宋" w:hint="eastAsia"/>
          <w:color w:val="000000"/>
          <w:sz w:val="32"/>
          <w:szCs w:val="24"/>
          <w:highlight w:val="none"/>
          <w:lang w:val="en-US"/>
        </w:rPr>
      </w:pPr>
      <w:r>
        <w:rPr>
          <w:rFonts w:ascii="仿宋" w:eastAsia="仿宋" w:hAnsi="仿宋" w:cs="仿宋" w:hint="eastAsia"/>
          <w:b/>
          <w:color w:val="000000"/>
          <w:sz w:val="32"/>
          <w:szCs w:val="24"/>
          <w:highlight w:val="none"/>
          <w:lang w:val="en-US"/>
        </w:rPr>
        <w:t xml:space="preserve">（1）因公出国（境）费用</w:t>
      </w:r>
      <w:r>
        <w:rPr>
          <w:rFonts w:ascii="仿宋" w:eastAsia="仿宋" w:hAnsi="仿宋" w:cs="仿宋" w:hint="eastAsia"/>
          <w:color w:val="000000"/>
          <w:sz w:val="32"/>
          <w:szCs w:val="24"/>
          <w:highlight w:val="none"/>
          <w:lang w:val="en-US"/>
        </w:rPr>
        <w:t xml:space="preserve">全年预算数为</w:t>
      </w:r>
      <w:r>
        <w:rPr>
          <w:rFonts w:ascii="仿宋" w:eastAsia="仿宋" w:hAnsi="仿宋" w:cs="仿宋" w:hint="eastAsia"/>
          <w:color w:val="auto"/>
          <w:sz w:val="30"/>
          <w:szCs w:val="24"/>
          <w:highlight w:val="none"/>
          <w:lang w:val="zh-CN"/>
        </w:rPr>
        <w:t xml:space="preserve">0.00</w:t>
      </w:r>
      <w:r>
        <w:rPr>
          <w:rFonts w:ascii="仿宋" w:eastAsia="仿宋" w:hAnsi="仿宋" w:cs="仿宋" w:hint="eastAsia"/>
          <w:color w:val="000000"/>
          <w:sz w:val="32"/>
          <w:szCs w:val="24"/>
          <w:highlight w:val="none"/>
          <w:lang w:val="en-US"/>
        </w:rPr>
        <w:t xml:space="preserve">万元，支出决算为</w:t>
      </w:r>
      <w:r>
        <w:rPr>
          <w:rFonts w:ascii="仿宋" w:eastAsia="仿宋" w:hAnsi="仿宋" w:cs="仿宋" w:hint="eastAsia"/>
          <w:color w:val="auto"/>
          <w:sz w:val="30"/>
          <w:szCs w:val="24"/>
          <w:highlight w:val="none"/>
          <w:lang w:val="zh-CN"/>
        </w:rPr>
        <w:t xml:space="preserve">0.00</w:t>
      </w:r>
      <w:r>
        <w:rPr>
          <w:rFonts w:ascii="仿宋" w:eastAsia="仿宋" w:hAnsi="仿宋" w:cs="仿宋" w:hint="eastAsia"/>
          <w:color w:val="000000"/>
          <w:sz w:val="32"/>
          <w:szCs w:val="24"/>
          <w:highlight w:val="none"/>
          <w:lang w:val="en-US"/>
        </w:rPr>
        <w:t xml:space="preserve">万元</w:t>
      </w:r>
      <w:r>
        <w:rPr>
          <w:rFonts w:ascii="仿宋" w:eastAsia="仿宋" w:hAnsi="仿宋" w:cs="仿宋" w:hint="eastAsia"/>
          <w:sz w:val="32"/>
          <w:szCs w:val="40"/>
          <w:lang w:val="en-US" w:eastAsia="zh-CN"/>
        </w:rPr>
        <w:t xml:space="preserve">，</w:t>
      </w:r>
      <w:r>
        <w:rPr>
          <w:rFonts w:ascii="仿宋" w:eastAsia="仿宋" w:hAnsi="仿宋" w:cs="仿宋" w:hint="eastAsia"/>
          <w:color w:val="000000"/>
          <w:sz w:val="32"/>
          <w:szCs w:val="24"/>
          <w:highlight w:val="none"/>
          <w:lang w:val="en-US"/>
        </w:rPr>
        <w:t xml:space="preserve">决算数</w:t>
      </w:r>
      <w:r>
        <w:rPr>
          <w:rFonts w:ascii="仿宋" w:eastAsia="仿宋" w:hAnsi="仿宋" w:cs="仿宋" w:hint="eastAsia"/>
          <w:color w:val="auto"/>
          <w:sz w:val="32"/>
          <w:szCs w:val="32"/>
          <w:highlight w:val="none"/>
        </w:rPr>
        <w:t xml:space="preserve">等于</w:t>
      </w:r>
      <w:r>
        <w:rPr>
          <w:rFonts w:ascii="仿宋" w:eastAsia="仿宋" w:hAnsi="仿宋" w:cs="仿宋" w:hint="eastAsia"/>
          <w:color w:val="000000"/>
          <w:sz w:val="32"/>
          <w:szCs w:val="24"/>
          <w:highlight w:val="none"/>
          <w:lang w:val="en-US"/>
        </w:rPr>
        <w:t xml:space="preserve">全年预算数的主要原因是</w:t>
      </w:r>
      <w:r>
        <w:rPr>
          <w:rFonts w:ascii="仿宋" w:eastAsia="仿宋" w:hAnsi="仿宋" w:cs="仿宋" w:hint="eastAsia"/>
          <w:kern w:val="0"/>
          <w:sz w:val="32"/>
          <w:szCs w:val="32"/>
          <w:lang w:val="en-US" w:eastAsia="zh-CN"/>
        </w:rPr>
        <w:t xml:space="preserve">无出入境需求</w:t>
      </w:r>
      <w:r>
        <w:rPr>
          <w:rFonts w:ascii="仿宋" w:eastAsia="仿宋" w:hAnsi="仿宋" w:cs="仿宋" w:hint="eastAsia"/>
          <w:color w:val="000000"/>
          <w:sz w:val="32"/>
          <w:szCs w:val="24"/>
          <w:highlight w:val="none"/>
          <w:lang w:val="en-US"/>
        </w:rPr>
        <w:t xml:space="preserve">。全年使用财政拨款支出涉及因公出国(境)团组</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个；累计</w:t>
      </w:r>
      <w:r>
        <w:rPr>
          <w:rFonts w:ascii="仿宋" w:eastAsia="仿宋" w:hAnsi="仿宋" w:cs="仿宋" w:hint="eastAsia"/>
          <w:color w:val="auto"/>
          <w:sz w:val="30"/>
          <w:szCs w:val="24"/>
          <w:highlight w:val="none"/>
          <w:lang w:val="zh-CN"/>
        </w:rPr>
        <w:t xml:space="preserve">0</w:t>
      </w:r>
      <w:r>
        <w:rPr>
          <w:rFonts w:ascii="仿宋" w:eastAsia="仿宋" w:hAnsi="仿宋" w:cs="仿宋" w:hint="eastAsia"/>
          <w:color w:val="000000"/>
          <w:sz w:val="32"/>
          <w:szCs w:val="24"/>
          <w:highlight w:val="none"/>
          <w:lang w:val="en-US"/>
        </w:rPr>
        <w:t xml:space="preserve">人次。</w:t>
      </w:r>
    </w:p>
    <w:p>
      <w:pPr>
        <w:keepNext w:val="0"/>
        <w:keepLines w:val="0"/>
        <w:widowControl w:val="0"/>
        <w:suppressLineNumbers w:val="0"/>
        <w:spacing w:before="0" w:beforeAutospacing="0" w:after="0" w:afterAutospacing="0"/>
        <w:ind w:left="0" w:right="0" w:firstLine="640" w:firstLineChars="200"/>
        <w:jc w:val="both"/>
        <w:rPr>
          <w:rFonts w:ascii="仿宋" w:eastAsia="仿宋" w:hAnsi="仿宋" w:cs="仿宋" w:hint="eastAsia"/>
          <w:kern w:val="0"/>
          <w:sz w:val="32"/>
          <w:szCs w:val="32"/>
          <w:lang w:val="en-US" w:eastAsia="zh-CN"/>
        </w:rPr>
      </w:pPr>
      <w:r>
        <w:rPr>
          <w:rFonts w:ascii="仿宋" w:eastAsia="仿宋" w:hAnsi="仿宋" w:cs="仿宋" w:hint="eastAsia"/>
          <w:b/>
          <w:color w:val="000000"/>
          <w:sz w:val="32"/>
          <w:szCs w:val="24"/>
          <w:highlight w:val="none"/>
          <w:lang w:val="en-US"/>
        </w:rPr>
        <w:t xml:space="preserve">（2）公务用车购置及运行维护费</w:t>
      </w:r>
      <w:r>
        <w:rPr>
          <w:rFonts w:ascii="仿宋" w:eastAsia="仿宋" w:hAnsi="仿宋" w:cs="仿宋" w:hint="eastAsia"/>
          <w:color w:val="000000"/>
          <w:sz w:val="32"/>
          <w:szCs w:val="24"/>
          <w:highlight w:val="none"/>
          <w:lang w:val="en-US"/>
        </w:rPr>
        <w:t xml:space="preserve">全年预算数为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万元，支出决算为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w:t>
      </w:r>
      <w:r>
        <w:rPr>
          <w:rFonts w:ascii="仿宋" w:eastAsia="仿宋" w:hAnsi="仿宋" w:cs="仿宋" w:hint="eastAsia"/>
          <w:color w:val="000000"/>
          <w:sz w:val="32"/>
          <w:szCs w:val="24"/>
          <w:highlight w:val="none"/>
          <w:lang w:val="en-US"/>
        </w:rPr>
        <w:t xml:space="preserve">。决算数</w:t>
      </w:r>
      <w:r>
        <w:rPr>
          <w:rFonts w:ascii="仿宋" w:eastAsia="仿宋" w:hAnsi="仿宋" w:cs="仿宋" w:hint="eastAsia"/>
          <w:color w:val="auto"/>
          <w:sz w:val="32"/>
          <w:szCs w:val="32"/>
          <w:highlight w:val="none"/>
        </w:rPr>
        <w:t xml:space="preserve">等于</w:t>
      </w:r>
      <w:r>
        <w:rPr>
          <w:rFonts w:ascii="仿宋" w:eastAsia="仿宋" w:hAnsi="仿宋" w:cs="仿宋" w:hint="eastAsia"/>
          <w:color w:val="000000"/>
          <w:sz w:val="32"/>
          <w:szCs w:val="24"/>
          <w:highlight w:val="none"/>
          <w:lang w:val="en-US"/>
        </w:rPr>
        <w:t xml:space="preserve">全年预算数的主要原因是</w:t>
      </w:r>
      <w:r>
        <w:rPr>
          <w:rFonts w:ascii="仿宋" w:eastAsia="仿宋" w:hAnsi="仿宋" w:cs="仿宋" w:hint="eastAsia"/>
          <w:kern w:val="0"/>
          <w:sz w:val="32"/>
          <w:szCs w:val="32"/>
          <w:lang w:val="en-US" w:eastAsia="zh-CN"/>
        </w:rPr>
        <w:t xml:space="preserve">无公务用车购置及运行维护需求。</w:t>
      </w:r>
    </w:p>
    <w:p>
      <w:pPr>
        <w:keepNext w:val="0"/>
        <w:keepLines w:val="0"/>
        <w:widowControl w:val="0"/>
        <w:suppressLineNumbers w:val="0"/>
        <w:spacing w:before="0" w:beforeAutospacing="0" w:after="0" w:afterAutospacing="0"/>
        <w:ind w:left="0" w:right="0" w:firstLine="420" w:firstLineChars="0"/>
        <w:jc w:val="both"/>
        <w:rPr>
          <w:rFonts w:ascii="仿宋" w:eastAsia="仿宋" w:hAnsi="仿宋" w:cs="仿宋" w:hint="eastAsia"/>
          <w:color w:val="000000"/>
          <w:sz w:val="32"/>
          <w:szCs w:val="24"/>
          <w:highlight w:val="none"/>
          <w:lang w:val="en-US"/>
        </w:rPr>
      </w:pPr>
      <w:r>
        <w:rPr>
          <w:rFonts w:ascii="仿宋" w:eastAsia="仿宋" w:hAnsi="仿宋" w:cs="仿宋" w:hint="eastAsia"/>
          <w:b/>
          <w:color w:val="000000"/>
          <w:sz w:val="32"/>
          <w:szCs w:val="24"/>
          <w:highlight w:val="none"/>
          <w:lang w:val="en-US"/>
        </w:rPr>
        <w:t xml:space="preserve">公务用车购置</w:t>
      </w:r>
      <w:r>
        <w:rPr>
          <w:rFonts w:ascii="仿宋" w:eastAsia="仿宋" w:hAnsi="仿宋" w:cs="仿宋" w:hint="eastAsia"/>
          <w:color w:val="000000"/>
          <w:sz w:val="32"/>
          <w:szCs w:val="24"/>
          <w:highlight w:val="none"/>
          <w:lang w:val="en-US"/>
        </w:rPr>
        <w:t xml:space="preserve">全年预算数为</w:t>
      </w:r>
      <w:r>
        <w:rPr>
          <w:rFonts w:ascii="仿宋" w:eastAsia="仿宋" w:hAnsi="仿宋" w:cs="仿宋" w:hint="eastAsia"/>
          <w:color w:val="auto"/>
          <w:sz w:val="30"/>
          <w:szCs w:val="24"/>
          <w:highlight w:val="none"/>
          <w:lang w:val="zh-CN"/>
        </w:rPr>
        <w:t xml:space="preserve">0.00</w:t>
      </w:r>
      <w:r>
        <w:rPr>
          <w:rFonts w:ascii="仿宋" w:eastAsia="仿宋" w:hAnsi="仿宋" w:cs="仿宋" w:hint="eastAsia"/>
          <w:color w:val="000000"/>
          <w:sz w:val="32"/>
          <w:szCs w:val="24"/>
          <w:highlight w:val="none"/>
          <w:lang w:val="en-US"/>
        </w:rPr>
        <w:t xml:space="preserve">万元，支出决算为</w:t>
      </w:r>
      <w:r>
        <w:rPr>
          <w:rFonts w:ascii="仿宋" w:eastAsia="仿宋" w:hAnsi="仿宋" w:cs="仿宋" w:hint="eastAsia"/>
          <w:color w:val="auto"/>
          <w:sz w:val="30"/>
          <w:szCs w:val="24"/>
          <w:highlight w:val="none"/>
          <w:lang w:val="zh-CN"/>
        </w:rPr>
        <w:t xml:space="preserve">0.00</w:t>
      </w:r>
      <w:r>
        <w:rPr>
          <w:rFonts w:ascii="仿宋" w:eastAsia="仿宋" w:hAnsi="仿宋" w:cs="仿宋" w:hint="eastAsia"/>
          <w:color w:val="000000"/>
          <w:sz w:val="32"/>
          <w:szCs w:val="24"/>
          <w:highlight w:val="none"/>
          <w:lang w:val="en-US"/>
        </w:rPr>
        <w:t xml:space="preserve">万元（含购置税等附加费用）</w:t>
      </w:r>
      <w:r>
        <w:rPr>
          <w:rFonts w:ascii="仿宋" w:eastAsia="仿宋" w:hAnsi="仿宋" w:cs="仿宋" w:hint="eastAsia"/>
          <w:color w:val="000000"/>
          <w:sz w:val="32"/>
          <w:szCs w:val="24"/>
          <w:highlight w:val="none"/>
          <w:lang w:val="en-US"/>
        </w:rPr>
        <w:t xml:space="preserve">。决算数</w:t>
      </w:r>
      <w:r>
        <w:rPr>
          <w:rFonts w:ascii="仿宋" w:eastAsia="仿宋" w:hAnsi="仿宋" w:cs="仿宋" w:hint="eastAsia"/>
          <w:color w:val="auto"/>
          <w:sz w:val="32"/>
          <w:szCs w:val="32"/>
          <w:highlight w:val="none"/>
        </w:rPr>
        <w:t xml:space="preserve">等于</w:t>
      </w:r>
      <w:r>
        <w:rPr>
          <w:rFonts w:ascii="仿宋" w:eastAsia="仿宋" w:hAnsi="仿宋" w:cs="仿宋" w:hint="eastAsia"/>
          <w:color w:val="000000"/>
          <w:sz w:val="32"/>
          <w:szCs w:val="24"/>
          <w:highlight w:val="none"/>
          <w:lang w:val="en-US"/>
        </w:rPr>
        <w:t xml:space="preserve">全年预算数的主要原因是</w:t>
      </w:r>
      <w:r>
        <w:rPr>
          <w:rFonts w:ascii="仿宋" w:eastAsia="仿宋" w:hAnsi="仿宋" w:cs="仿宋" w:hint="eastAsia"/>
          <w:kern w:val="0"/>
          <w:sz w:val="32"/>
          <w:szCs w:val="32"/>
          <w:lang w:val="en-US" w:eastAsia="zh-CN"/>
        </w:rPr>
        <w:t xml:space="preserve">无公务用车购置需求</w:t>
      </w:r>
      <w:r>
        <w:rPr>
          <w:rFonts w:ascii="仿宋" w:eastAsia="仿宋" w:hAnsi="仿宋" w:cs="仿宋" w:hint="eastAsia"/>
          <w:kern w:val="0"/>
          <w:sz w:val="32"/>
          <w:szCs w:val="32"/>
          <w:lang w:val="en-US" w:eastAsia="zh-CN"/>
        </w:rPr>
        <w:t xml:space="preserve"> </w:t>
      </w:r>
      <w:r>
        <w:rPr>
          <w:rFonts w:ascii="仿宋" w:eastAsia="仿宋" w:hAnsi="仿宋" w:cs="仿宋" w:hint="eastAsia"/>
          <w:color w:val="000000"/>
          <w:sz w:val="32"/>
          <w:szCs w:val="24"/>
          <w:highlight w:val="none"/>
          <w:lang w:val="en-US"/>
        </w:rPr>
        <w:t xml:space="preserve">。主要用于经批准购置的</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辆公务用车；</w:t>
      </w:r>
    </w:p>
    <w:p>
      <w:pPr>
        <w:spacing w:beforeLines="0" w:afterLines="0" w:line="600" w:lineRule="exact"/>
        <w:ind w:firstLine="641"/>
        <w:rPr>
          <w:rFonts w:ascii="仿宋" w:eastAsia="仿宋" w:hAnsi="仿宋" w:cs="仿宋" w:hint="eastAsia"/>
          <w:color w:val="000000"/>
          <w:sz w:val="32"/>
          <w:szCs w:val="24"/>
          <w:highlight w:val="none"/>
          <w:lang w:val="en-US"/>
        </w:rPr>
      </w:pPr>
      <w:r>
        <w:rPr>
          <w:rFonts w:ascii="仿宋" w:eastAsia="仿宋" w:hAnsi="仿宋" w:cs="仿宋" w:hint="eastAsia"/>
          <w:b/>
          <w:color w:val="000000"/>
          <w:sz w:val="32"/>
          <w:szCs w:val="24"/>
          <w:highlight w:val="none"/>
          <w:lang w:val="en-US"/>
        </w:rPr>
        <w:t xml:space="preserve">公务用车运行维护费</w:t>
      </w:r>
      <w:r>
        <w:rPr>
          <w:rFonts w:ascii="仿宋" w:eastAsia="仿宋" w:hAnsi="仿宋" w:cs="仿宋" w:hint="eastAsia"/>
          <w:color w:val="000000"/>
          <w:sz w:val="32"/>
          <w:szCs w:val="24"/>
          <w:highlight w:val="none"/>
          <w:lang w:val="en-US"/>
        </w:rPr>
        <w:t xml:space="preserve">全年预算数为</w:t>
      </w:r>
      <w:r>
        <w:rPr>
          <w:rFonts w:ascii="仿宋" w:eastAsia="仿宋" w:hAnsi="仿宋" w:cs="仿宋" w:hint="eastAsia"/>
          <w:color w:val="auto"/>
          <w:sz w:val="30"/>
          <w:szCs w:val="24"/>
          <w:highlight w:val="none"/>
          <w:lang w:val="zh-CN"/>
        </w:rPr>
        <w:t xml:space="preserve">0.00</w:t>
      </w:r>
      <w:r>
        <w:rPr>
          <w:rFonts w:ascii="仿宋" w:eastAsia="仿宋" w:hAnsi="仿宋" w:cs="仿宋" w:hint="eastAsia"/>
          <w:color w:val="000000"/>
          <w:sz w:val="32"/>
          <w:szCs w:val="24"/>
          <w:highlight w:val="none"/>
          <w:lang w:val="en-US"/>
        </w:rPr>
        <w:t xml:space="preserve">万元，支出决算为</w:t>
      </w:r>
      <w:r>
        <w:rPr>
          <w:rFonts w:ascii="仿宋" w:eastAsia="仿宋" w:hAnsi="仿宋" w:cs="仿宋" w:hint="eastAsia"/>
          <w:color w:val="auto"/>
          <w:sz w:val="30"/>
          <w:szCs w:val="24"/>
          <w:highlight w:val="none"/>
          <w:lang w:val="zh-CN"/>
        </w:rPr>
        <w:t xml:space="preserve">0.00</w:t>
      </w:r>
      <w:r>
        <w:rPr>
          <w:rFonts w:ascii="仿宋" w:eastAsia="仿宋" w:hAnsi="仿宋" w:cs="仿宋" w:hint="eastAsia"/>
          <w:color w:val="000000"/>
          <w:sz w:val="32"/>
          <w:szCs w:val="24"/>
          <w:highlight w:val="none"/>
          <w:lang w:val="en-US"/>
        </w:rPr>
        <w:t xml:space="preserve">万元</w:t>
      </w:r>
      <w:r>
        <w:rPr>
          <w:rFonts w:ascii="仿宋" w:eastAsia="仿宋" w:hAnsi="仿宋" w:cs="仿宋" w:hint="eastAsia"/>
          <w:color w:val="000000"/>
          <w:sz w:val="32"/>
          <w:szCs w:val="24"/>
          <w:highlight w:val="none"/>
          <w:lang w:val="en-US"/>
        </w:rPr>
        <w:t xml:space="preserve">。决算数</w:t>
      </w:r>
      <w:r>
        <w:rPr>
          <w:rFonts w:ascii="仿宋" w:eastAsia="仿宋" w:hAnsi="仿宋" w:cs="仿宋" w:hint="eastAsia"/>
          <w:color w:val="auto"/>
          <w:sz w:val="32"/>
          <w:szCs w:val="32"/>
          <w:highlight w:val="none"/>
        </w:rPr>
        <w:t xml:space="preserve">等于</w:t>
      </w:r>
      <w:r>
        <w:rPr>
          <w:rFonts w:ascii="仿宋" w:eastAsia="仿宋" w:hAnsi="仿宋" w:cs="仿宋" w:hint="eastAsia"/>
          <w:color w:val="000000"/>
          <w:sz w:val="32"/>
          <w:szCs w:val="24"/>
          <w:highlight w:val="none"/>
          <w:lang w:val="en-US"/>
        </w:rPr>
        <w:t xml:space="preserve">全年预算数的主要原因是</w:t>
      </w:r>
      <w:r>
        <w:rPr>
          <w:rFonts w:ascii="仿宋" w:eastAsia="仿宋" w:hAnsi="仿宋" w:cs="仿宋" w:hint="eastAsia"/>
          <w:kern w:val="0"/>
          <w:sz w:val="32"/>
          <w:szCs w:val="32"/>
          <w:lang w:val="en-US" w:eastAsia="zh-CN"/>
        </w:rPr>
        <w:t xml:space="preserve">无公务用车运行维护需求</w:t>
      </w:r>
      <w:r>
        <w:rPr>
          <w:rFonts w:ascii="仿宋" w:eastAsia="仿宋" w:hAnsi="仿宋" w:cs="仿宋" w:hint="eastAsia"/>
          <w:sz w:val="32"/>
          <w:szCs w:val="40"/>
          <w:lang w:val="en-US" w:eastAsia="zh-CN"/>
        </w:rPr>
        <w:t xml:space="preserve">。</w:t>
      </w:r>
      <w:r>
        <w:rPr>
          <w:rFonts w:ascii="仿宋" w:eastAsia="仿宋" w:hAnsi="仿宋" w:cs="仿宋" w:hint="eastAsia"/>
          <w:color w:val="000000"/>
          <w:sz w:val="32"/>
          <w:szCs w:val="24"/>
          <w:highlight w:val="none"/>
          <w:lang w:val="en-US"/>
        </w:rPr>
        <w:t xml:space="preserve">截至</w:t>
      </w:r>
      <w:r>
        <w:rPr>
          <w:rFonts w:ascii="仿宋" w:eastAsia="仿宋" w:hAnsi="仿宋" w:cs="仿宋" w:hint="eastAsia"/>
          <w:color w:val="000000"/>
          <w:sz w:val="32"/>
          <w:szCs w:val="24"/>
          <w:highlight w:val="none"/>
          <w:lang w:val="en-US" w:eastAsia="zh-CN"/>
        </w:rPr>
        <w:t xml:space="preserve">2023</w:t>
      </w:r>
      <w:r>
        <w:rPr>
          <w:rFonts w:ascii="仿宋" w:eastAsia="仿宋" w:hAnsi="仿宋" w:cs="仿宋" w:hint="eastAsia"/>
          <w:color w:val="000000"/>
          <w:sz w:val="32"/>
          <w:szCs w:val="24"/>
          <w:highlight w:val="none"/>
          <w:lang w:val="en-US"/>
        </w:rPr>
        <w:t xml:space="preserve">年12月31日，财政拨款开支的公务用车保有量为</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辆。</w:t>
      </w:r>
    </w:p>
    <w:p>
      <w:pPr>
        <w:spacing w:beforeLines="0" w:afterLines="0" w:line="600" w:lineRule="exact"/>
        <w:ind w:firstLine="641"/>
        <w:rPr>
          <w:rFonts w:ascii="仿宋" w:eastAsia="仿宋" w:hAnsi="仿宋" w:cs="仿宋" w:hint="eastAsia"/>
          <w:color w:val="000000"/>
          <w:sz w:val="32"/>
          <w:szCs w:val="24"/>
          <w:highlight w:val="none"/>
          <w:lang w:val="en-US"/>
        </w:rPr>
      </w:pPr>
      <w:r>
        <w:rPr>
          <w:rFonts w:ascii="仿宋" w:eastAsia="仿宋" w:hAnsi="仿宋" w:cs="仿宋" w:hint="eastAsia"/>
          <w:b/>
          <w:color w:val="000000"/>
          <w:sz w:val="32"/>
          <w:szCs w:val="24"/>
          <w:highlight w:val="none"/>
          <w:lang w:val="en-US"/>
        </w:rPr>
        <w:t xml:space="preserve">（</w:t>
      </w:r>
      <w:r>
        <w:rPr>
          <w:rFonts w:ascii="仿宋" w:eastAsia="仿宋" w:hAnsi="仿宋" w:cs="仿宋" w:hint="eastAsia"/>
          <w:b/>
          <w:color w:val="000000"/>
          <w:sz w:val="32"/>
          <w:szCs w:val="24"/>
          <w:highlight w:val="none"/>
          <w:lang w:val="en-US" w:eastAsia="zh-CN"/>
        </w:rPr>
        <w:t xml:space="preserve">3</w:t>
      </w:r>
      <w:r>
        <w:rPr>
          <w:rFonts w:ascii="仿宋" w:eastAsia="仿宋" w:hAnsi="仿宋" w:cs="仿宋" w:hint="eastAsia"/>
          <w:b/>
          <w:color w:val="000000"/>
          <w:sz w:val="32"/>
          <w:szCs w:val="24"/>
          <w:highlight w:val="none"/>
          <w:lang w:val="en-US"/>
        </w:rPr>
        <w:t xml:space="preserve">）公务接待费</w:t>
      </w:r>
      <w:r>
        <w:rPr>
          <w:rFonts w:ascii="仿宋" w:eastAsia="仿宋" w:hAnsi="仿宋" w:cs="仿宋" w:hint="eastAsia"/>
          <w:color w:val="000000"/>
          <w:sz w:val="32"/>
          <w:szCs w:val="24"/>
          <w:highlight w:val="none"/>
          <w:lang w:val="en-US"/>
        </w:rPr>
        <w:t xml:space="preserve">全年预算数为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万元，支出决算为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w:t>
      </w:r>
      <w:r>
        <w:rPr>
          <w:rFonts w:ascii="仿宋" w:eastAsia="仿宋" w:hAnsi="仿宋" w:cs="仿宋" w:hint="eastAsia"/>
          <w:color w:val="000000"/>
          <w:sz w:val="32"/>
          <w:szCs w:val="24"/>
          <w:highlight w:val="none"/>
          <w:lang w:val="en-US"/>
        </w:rPr>
        <w:t xml:space="preserve">。国内公务接待</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批次，累计</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人次。</w:t>
      </w:r>
      <w:r>
        <w:rPr>
          <w:rFonts w:ascii="仿宋" w:eastAsia="仿宋" w:hAnsi="仿宋" w:cs="仿宋" w:hint="eastAsia"/>
          <w:color w:val="000000"/>
          <w:sz w:val="32"/>
          <w:szCs w:val="24"/>
          <w:highlight w:val="none"/>
          <w:lang w:val="en-US"/>
        </w:rPr>
        <w:t xml:space="preserve">决算数</w:t>
      </w:r>
      <w:r>
        <w:rPr>
          <w:rFonts w:ascii="仿宋" w:eastAsia="仿宋" w:hAnsi="仿宋" w:cs="仿宋" w:hint="eastAsia"/>
          <w:color w:val="auto"/>
          <w:sz w:val="32"/>
          <w:szCs w:val="32"/>
          <w:highlight w:val="none"/>
        </w:rPr>
        <w:t xml:space="preserve">等于</w:t>
      </w:r>
      <w:r>
        <w:rPr>
          <w:rFonts w:ascii="仿宋" w:eastAsia="仿宋" w:hAnsi="仿宋" w:cs="仿宋" w:hint="eastAsia"/>
          <w:color w:val="000000"/>
          <w:sz w:val="32"/>
          <w:szCs w:val="24"/>
          <w:highlight w:val="none"/>
          <w:lang w:val="en-US"/>
        </w:rPr>
        <w:t xml:space="preserve">全年预算数的主要原因是</w:t>
      </w:r>
      <w:r>
        <w:rPr>
          <w:rFonts w:ascii="仿宋" w:eastAsia="仿宋" w:hAnsi="仿宋" w:cs="仿宋" w:hint="eastAsia"/>
          <w:kern w:val="0"/>
          <w:sz w:val="32"/>
          <w:szCs w:val="32"/>
          <w:lang w:val="en-US" w:eastAsia="zh-CN"/>
        </w:rPr>
        <w:t xml:space="preserve">厉行节约，减少接待。</w:t>
      </w:r>
      <w:r>
        <w:rPr>
          <w:rFonts w:ascii="仿宋" w:eastAsia="仿宋" w:hAnsi="仿宋" w:cs="仿宋" w:hint="eastAsia"/>
          <w:color w:val="000000"/>
          <w:sz w:val="32"/>
          <w:szCs w:val="24"/>
          <w:highlight w:val="none"/>
          <w:lang w:val="en-US"/>
        </w:rPr>
        <w:t xml:space="preserve">其中：</w:t>
      </w:r>
    </w:p>
    <w:p>
      <w:pPr>
        <w:spacing w:beforeLines="0" w:afterLines="0" w:line="600" w:lineRule="exact"/>
        <w:ind w:firstLine="641"/>
        <w:rPr>
          <w:rFonts w:ascii="仿宋" w:eastAsia="仿宋" w:hAnsi="仿宋" w:cs="仿宋" w:hint="eastAsia"/>
          <w:color w:val="000000"/>
          <w:sz w:val="32"/>
          <w:szCs w:val="24"/>
          <w:highlight w:val="none"/>
          <w:lang w:val="en-US"/>
        </w:rPr>
      </w:pPr>
      <w:r>
        <w:rPr>
          <w:rFonts w:ascii="仿宋" w:eastAsia="仿宋" w:hAnsi="仿宋" w:cs="仿宋" w:hint="eastAsia"/>
          <w:b/>
          <w:color w:val="000000"/>
          <w:sz w:val="32"/>
          <w:szCs w:val="24"/>
          <w:highlight w:val="none"/>
          <w:lang w:val="en-US"/>
        </w:rPr>
        <w:t xml:space="preserve">外事接待</w:t>
      </w:r>
      <w:r>
        <w:rPr>
          <w:rFonts w:ascii="仿宋" w:eastAsia="仿宋" w:hAnsi="仿宋" w:cs="仿宋" w:hint="eastAsia"/>
          <w:color w:val="000000"/>
          <w:sz w:val="32"/>
          <w:szCs w:val="24"/>
          <w:highlight w:val="none"/>
          <w:lang w:val="en-US"/>
        </w:rPr>
        <w:t xml:space="preserve">支出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w:t>
      </w:r>
      <w:r>
        <w:rPr>
          <w:rFonts w:ascii="仿宋" w:eastAsia="仿宋" w:hAnsi="仿宋" w:cs="仿宋" w:hint="eastAsia"/>
          <w:color w:val="000000"/>
          <w:sz w:val="32"/>
          <w:szCs w:val="24"/>
          <w:highlight w:val="none"/>
          <w:lang w:val="en-US"/>
        </w:rPr>
        <w:t xml:space="preserve">接待</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批次，累计</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人次。</w:t>
      </w:r>
    </w:p>
    <w:p>
      <w:pPr>
        <w:spacing w:beforeLines="0" w:afterLines="0" w:line="600" w:lineRule="exact"/>
        <w:ind w:firstLine="641"/>
        <w:rPr>
          <w:rFonts w:ascii="仿宋" w:eastAsia="仿宋" w:hAnsi="仿宋" w:cs="仿宋" w:hint="eastAsia"/>
          <w:color w:val="000000"/>
          <w:sz w:val="32"/>
          <w:szCs w:val="24"/>
          <w:highlight w:val="none"/>
          <w:lang w:val="en-US"/>
        </w:rPr>
      </w:pPr>
      <w:r>
        <w:rPr>
          <w:rFonts w:ascii="仿宋" w:eastAsia="仿宋" w:hAnsi="仿宋" w:cs="仿宋" w:hint="eastAsia"/>
          <w:b/>
          <w:color w:val="000000"/>
          <w:sz w:val="32"/>
          <w:szCs w:val="24"/>
          <w:highlight w:val="none"/>
          <w:lang w:val="en-US"/>
        </w:rPr>
        <w:t xml:space="preserve">其他国内公务接待</w:t>
      </w:r>
      <w:r>
        <w:rPr>
          <w:rFonts w:ascii="仿宋" w:eastAsia="仿宋" w:hAnsi="仿宋" w:cs="仿宋" w:hint="eastAsia"/>
          <w:color w:val="000000"/>
          <w:sz w:val="32"/>
          <w:szCs w:val="24"/>
          <w:highlight w:val="none"/>
          <w:lang w:val="en-US"/>
        </w:rPr>
        <w:t xml:space="preserve">支出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w:t>
      </w:r>
      <w:r>
        <w:rPr>
          <w:rFonts w:ascii="仿宋" w:eastAsia="仿宋" w:hAnsi="仿宋" w:cs="仿宋" w:hint="eastAsia"/>
          <w:color w:val="000000"/>
          <w:sz w:val="32"/>
          <w:szCs w:val="24"/>
          <w:highlight w:val="none"/>
          <w:lang w:val="en-US"/>
        </w:rPr>
        <w:t xml:space="preserve">接待</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批次，累计</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人次。</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54" w:name="_Toc952"/>
      <w:bookmarkStart w:id="55" w:name="_Toc_1_2_0000000057"/>
      <w:r>
        <w:rPr>
          <w:rFonts w:ascii="黑体" w:eastAsia="黑体" w:hAnsi="宋体" w:cs="黑体" w:hint="eastAsia"/>
          <w:kern w:val="2"/>
          <w:sz w:val="32"/>
          <w:szCs w:val="32"/>
          <w:lang w:val="en-US" w:eastAsia="zh-CN"/>
        </w:rPr>
        <w:t xml:space="preserve">（十）机关运行经费支出说明</w:t>
      </w:r>
      <w:bookmarkEnd w:id="54"/>
      <w:bookmarkEnd w:id="55"/>
    </w:p>
    <w:p>
      <w:pPr>
        <w:ind w:firstLine="640" w:firstLineChars="200"/>
        <w:rPr>
          <w:rFonts w:ascii="仿宋" w:eastAsia="仿宋" w:hAnsi="仿宋" w:cs="仿宋" w:hint="eastAsia"/>
          <w:kern w:val="2"/>
          <w:sz w:val="32"/>
          <w:szCs w:val="32"/>
          <w:lang w:val="en-US" w:eastAsia="zh-CN"/>
        </w:rPr>
      </w:pPr>
      <w:bookmarkStart w:id="56" w:name="_Toc20820"/>
      <w:r>
        <w:rPr>
          <w:rFonts w:ascii="仿宋" w:eastAsia="仿宋" w:hAnsi="仿宋" w:cs="仿宋" w:hint="eastAsia"/>
          <w:sz w:val="32"/>
          <w:szCs w:val="40"/>
          <w:lang w:val="en-US" w:eastAsia="zh-CN"/>
        </w:rPr>
        <w:t xml:space="preserve">2023年度机关运行经费年初预算数为79.67万元，支出决算为91.55万元，完成年初预算的114.91%，决算数</w:t>
      </w:r>
      <w:r>
        <w:rPr>
          <w:rFonts w:ascii="仿宋" w:eastAsia="仿宋" w:hAnsi="仿宋" w:cs="仿宋" w:hint="eastAsia"/>
          <w:sz w:val="32"/>
          <w:szCs w:val="40"/>
          <w:lang w:val="en-US" w:eastAsia="zh-CN"/>
        </w:rPr>
        <w:t xml:space="preserve">大于</w:t>
      </w:r>
      <w:r>
        <w:rPr>
          <w:rFonts w:ascii="仿宋" w:eastAsia="仿宋" w:hAnsi="仿宋" w:cs="仿宋" w:hint="eastAsia"/>
          <w:sz w:val="32"/>
          <w:szCs w:val="40"/>
          <w:lang w:val="en-US" w:eastAsia="zh-CN"/>
        </w:rPr>
        <w:t xml:space="preserve">预算数的主要原因人员变动，其他交通费用支出增多。；比2022年度</w:t>
      </w:r>
      <w:r>
        <w:rPr>
          <w:rFonts w:ascii="仿宋" w:eastAsia="仿宋" w:hAnsi="仿宋" w:cs="仿宋" w:hint="eastAsia"/>
          <w:sz w:val="32"/>
          <w:szCs w:val="40"/>
          <w:lang w:val="en-US" w:eastAsia="zh-CN"/>
        </w:rPr>
        <w:t xml:space="preserve">增长19.64万元，</w:t>
      </w:r>
      <w:r>
        <w:rPr>
          <w:rFonts w:ascii="仿宋" w:eastAsia="仿宋" w:hAnsi="仿宋" w:cs="仿宋" w:hint="eastAsia"/>
          <w:sz w:val="32"/>
          <w:szCs w:val="40"/>
          <w:lang w:val="en-US" w:eastAsia="zh-CN"/>
        </w:rPr>
        <w:t xml:space="preserve">增长27.32%，</w:t>
      </w:r>
      <w:r>
        <w:rPr>
          <w:rFonts w:ascii="仿宋" w:eastAsia="仿宋" w:hAnsi="仿宋" w:cs="仿宋" w:hint="eastAsia"/>
          <w:sz w:val="32"/>
          <w:szCs w:val="40"/>
          <w:lang w:val="en-US" w:eastAsia="zh-CN"/>
        </w:rPr>
        <w:t xml:space="preserve">主要原因是取数口径调整。</w:t>
      </w:r>
      <w:r>
        <w:rPr>
          <w:rFonts w:ascii="仿宋" w:eastAsia="仿宋" w:hAnsi="仿宋" w:cs="仿宋" w:hint="eastAsia"/>
          <w:sz w:val="32"/>
          <w:szCs w:val="40"/>
          <w:lang w:val="en-US" w:eastAsia="zh-CN"/>
        </w:rPr>
        <w:t xml:space="preserve"> </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57" w:name="_Toc_1_2_0000000058"/>
      <w:r>
        <w:rPr>
          <w:rFonts w:ascii="黑体" w:eastAsia="黑体" w:hAnsi="宋体" w:cs="黑体" w:hint="eastAsia"/>
          <w:kern w:val="2"/>
          <w:sz w:val="32"/>
          <w:szCs w:val="32"/>
          <w:lang w:val="en-US" w:eastAsia="zh-CN"/>
        </w:rPr>
        <w:t xml:space="preserve">（十一）政府采购支出说明</w:t>
      </w:r>
      <w:bookmarkEnd w:id="56"/>
      <w:bookmarkEnd w:id="57"/>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eastAsia="zh-CN"/>
        </w:rPr>
        <w:t xml:space="preserve">2023</w:t>
      </w:r>
      <w:r>
        <w:rPr>
          <w:rFonts w:ascii="仿宋" w:eastAsia="仿宋" w:hAnsi="仿宋" w:cs="仿宋" w:hint="eastAsia"/>
          <w:color w:val="000000"/>
          <w:sz w:val="32"/>
          <w:szCs w:val="24"/>
          <w:highlight w:val="none"/>
          <w:lang w:val="en-US"/>
        </w:rPr>
        <w:t xml:space="preserve">年度政府采购支出总额</w:t>
      </w:r>
      <w:r>
        <w:rPr>
          <w:rFonts w:ascii="仿宋" w:eastAsia="仿宋" w:hAnsi="仿宋" w:cs="仿宋" w:hint="eastAsia"/>
          <w:color w:val="000000"/>
          <w:sz w:val="32"/>
          <w:szCs w:val="24"/>
          <w:highlight w:val="none"/>
          <w:lang w:val="en-US" w:eastAsia="zh-CN"/>
        </w:rPr>
        <w:t xml:space="preserve">1.18</w:t>
      </w:r>
      <w:r>
        <w:rPr>
          <w:rFonts w:ascii="仿宋" w:eastAsia="仿宋" w:hAnsi="仿宋" w:cs="仿宋" w:hint="eastAsia"/>
          <w:color w:val="000000"/>
          <w:sz w:val="32"/>
          <w:szCs w:val="24"/>
          <w:highlight w:val="none"/>
          <w:lang w:val="en-US"/>
        </w:rPr>
        <w:t xml:space="preserve">万元，其中：政府采购货物支出</w:t>
      </w:r>
      <w:r>
        <w:rPr>
          <w:rFonts w:ascii="仿宋" w:eastAsia="仿宋" w:hAnsi="仿宋" w:cs="仿宋" w:hint="eastAsia"/>
          <w:color w:val="000000"/>
          <w:sz w:val="32"/>
          <w:szCs w:val="24"/>
          <w:highlight w:val="none"/>
          <w:lang w:val="en-US" w:eastAsia="zh-CN"/>
        </w:rPr>
        <w:t xml:space="preserve">0.93</w:t>
      </w:r>
      <w:r>
        <w:rPr>
          <w:rFonts w:ascii="仿宋" w:eastAsia="仿宋" w:hAnsi="仿宋" w:cs="仿宋" w:hint="eastAsia"/>
          <w:color w:val="000000"/>
          <w:sz w:val="32"/>
          <w:szCs w:val="24"/>
          <w:highlight w:val="none"/>
          <w:lang w:val="en-US"/>
        </w:rPr>
        <w:t xml:space="preserve">万元、政府采购工程支出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万元、政府采购服务支出</w:t>
      </w:r>
      <w:r>
        <w:rPr>
          <w:rFonts w:ascii="仿宋" w:eastAsia="仿宋" w:hAnsi="仿宋" w:cs="仿宋" w:hint="eastAsia"/>
          <w:color w:val="000000"/>
          <w:sz w:val="32"/>
          <w:szCs w:val="24"/>
          <w:highlight w:val="none"/>
          <w:lang w:val="en-US" w:eastAsia="zh-CN"/>
        </w:rPr>
        <w:t xml:space="preserve">0.25</w:t>
      </w:r>
      <w:r>
        <w:rPr>
          <w:rFonts w:ascii="仿宋" w:eastAsia="仿宋" w:hAnsi="仿宋" w:cs="仿宋" w:hint="eastAsia"/>
          <w:color w:val="000000"/>
          <w:sz w:val="32"/>
          <w:szCs w:val="24"/>
          <w:highlight w:val="none"/>
          <w:lang w:val="en-US"/>
        </w:rPr>
        <w:t xml:space="preserve">万元。授予中小企业合同金额</w:t>
      </w:r>
      <w:r>
        <w:rPr>
          <w:rFonts w:ascii="仿宋" w:eastAsia="仿宋" w:hAnsi="仿宋" w:cs="仿宋" w:hint="eastAsia"/>
          <w:color w:val="000000"/>
          <w:sz w:val="32"/>
          <w:szCs w:val="24"/>
          <w:highlight w:val="none"/>
          <w:lang w:val="en-US" w:eastAsia="zh-CN"/>
        </w:rPr>
        <w:t xml:space="preserve">1.18</w:t>
      </w:r>
      <w:r>
        <w:rPr>
          <w:rFonts w:ascii="仿宋" w:eastAsia="仿宋" w:hAnsi="仿宋" w:cs="仿宋" w:hint="eastAsia"/>
          <w:color w:val="000000"/>
          <w:sz w:val="32"/>
          <w:szCs w:val="24"/>
          <w:highlight w:val="none"/>
          <w:lang w:val="en-US"/>
        </w:rPr>
        <w:t xml:space="preserve">万元，占政府采购支出总额的</w:t>
      </w:r>
      <w:r>
        <w:rPr>
          <w:rFonts w:ascii="仿宋" w:eastAsia="仿宋" w:hAnsi="仿宋" w:cs="仿宋" w:hint="eastAsia"/>
          <w:color w:val="000000"/>
          <w:sz w:val="32"/>
          <w:szCs w:val="24"/>
          <w:highlight w:val="none"/>
          <w:lang w:val="en-US" w:eastAsia="zh-CN"/>
        </w:rPr>
        <w:t xml:space="preserve">100.00</w:t>
      </w:r>
      <w:r>
        <w:rPr>
          <w:rFonts w:ascii="仿宋" w:eastAsia="仿宋" w:hAnsi="仿宋" w:cs="仿宋" w:hint="eastAsia"/>
          <w:color w:val="000000"/>
          <w:sz w:val="32"/>
          <w:szCs w:val="24"/>
          <w:highlight w:val="none"/>
          <w:lang w:val="en-US"/>
        </w:rPr>
        <w:t xml:space="preserve">%。其中，授予小微企业合同金额</w:t>
      </w:r>
      <w:r>
        <w:rPr>
          <w:rFonts w:ascii="仿宋" w:eastAsia="仿宋" w:hAnsi="仿宋" w:cs="仿宋" w:hint="eastAsia"/>
          <w:color w:val="000000"/>
          <w:sz w:val="32"/>
          <w:szCs w:val="24"/>
          <w:highlight w:val="none"/>
          <w:lang w:val="en-US" w:eastAsia="zh-CN"/>
        </w:rPr>
        <w:t xml:space="preserve">1.18</w:t>
      </w:r>
      <w:r>
        <w:rPr>
          <w:rFonts w:ascii="仿宋" w:eastAsia="仿宋" w:hAnsi="仿宋" w:cs="仿宋" w:hint="eastAsia"/>
          <w:color w:val="000000"/>
          <w:sz w:val="32"/>
          <w:szCs w:val="24"/>
          <w:highlight w:val="none"/>
          <w:lang w:val="en-US"/>
        </w:rPr>
        <w:t xml:space="preserve">万元，占授予中小企业合同金额的</w:t>
      </w:r>
      <w:r>
        <w:rPr>
          <w:rFonts w:ascii="仿宋" w:eastAsia="仿宋" w:hAnsi="仿宋" w:cs="仿宋" w:hint="eastAsia"/>
          <w:color w:val="000000"/>
          <w:sz w:val="32"/>
          <w:szCs w:val="24"/>
          <w:highlight w:val="none"/>
          <w:lang w:val="en-US" w:eastAsia="zh-CN"/>
        </w:rPr>
        <w:t xml:space="preserve">100.00</w:t>
      </w:r>
      <w:r>
        <w:rPr>
          <w:rFonts w:ascii="仿宋" w:eastAsia="仿宋" w:hAnsi="仿宋" w:cs="仿宋" w:hint="eastAsia"/>
          <w:color w:val="000000"/>
          <w:sz w:val="32"/>
          <w:szCs w:val="24"/>
          <w:highlight w:val="none"/>
          <w:lang w:val="en-US"/>
        </w:rPr>
        <w:t xml:space="preserve">%；货物采购授予中小企业合同金额占货物支出金额的</w:t>
      </w:r>
      <w:r>
        <w:rPr>
          <w:rFonts w:ascii="仿宋" w:eastAsia="仿宋" w:hAnsi="仿宋" w:cs="仿宋" w:hint="eastAsia"/>
          <w:kern w:val="0"/>
          <w:sz w:val="32"/>
          <w:szCs w:val="32"/>
          <w:lang w:val="en-US" w:eastAsia="zh-CN"/>
        </w:rPr>
        <w:t xml:space="preserve">100.00</w:t>
      </w:r>
      <w:r>
        <w:rPr>
          <w:rFonts w:ascii="仿宋" w:eastAsia="仿宋" w:hAnsi="仿宋" w:cs="仿宋" w:hint="eastAsia"/>
          <w:color w:val="000000"/>
          <w:sz w:val="32"/>
          <w:szCs w:val="24"/>
          <w:highlight w:val="none"/>
          <w:lang w:val="en-US"/>
        </w:rPr>
        <w:t xml:space="preserve">%，工程采购授予中小企业合同金额占工程支出金额的</w:t>
      </w:r>
      <w:r>
        <w:rPr>
          <w:rFonts w:ascii="仿宋" w:eastAsia="仿宋" w:hAnsi="仿宋" w:cs="仿宋" w:hint="eastAsia"/>
          <w:kern w:val="0"/>
          <w:sz w:val="32"/>
          <w:szCs w:val="32"/>
          <w:lang w:val="en-US" w:eastAsia="zh-CN"/>
        </w:rPr>
        <w:t xml:space="preserve">100.00</w:t>
      </w:r>
      <w:r>
        <w:rPr>
          <w:rFonts w:ascii="仿宋" w:eastAsia="仿宋" w:hAnsi="仿宋" w:cs="仿宋" w:hint="eastAsia"/>
          <w:color w:val="000000"/>
          <w:sz w:val="32"/>
          <w:szCs w:val="24"/>
          <w:highlight w:val="none"/>
          <w:lang w:val="en-US"/>
        </w:rPr>
        <w:t xml:space="preserve">%，服务采购授予中小企业合同金额占服务支出金额的</w:t>
      </w:r>
      <w:r>
        <w:rPr>
          <w:rFonts w:ascii="仿宋" w:eastAsia="仿宋" w:hAnsi="仿宋" w:cs="仿宋" w:hint="eastAsia"/>
          <w:kern w:val="0"/>
          <w:sz w:val="32"/>
          <w:szCs w:val="32"/>
          <w:lang w:val="en-US" w:eastAsia="zh-CN"/>
        </w:rPr>
        <w:t xml:space="preserve">100.00</w:t>
      </w:r>
      <w:r>
        <w:rPr>
          <w:rFonts w:ascii="仿宋" w:eastAsia="仿宋" w:hAnsi="仿宋" w:cs="仿宋" w:hint="eastAsia"/>
          <w:color w:val="000000"/>
          <w:sz w:val="32"/>
          <w:szCs w:val="24"/>
          <w:highlight w:val="none"/>
          <w:lang w:val="en-US"/>
        </w:rPr>
        <w:t xml:space="preserve">%。</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58" w:name="_Toc11393"/>
      <w:bookmarkStart w:id="59" w:name="_Toc_1_2_0000000059"/>
      <w:r>
        <w:rPr>
          <w:rFonts w:ascii="黑体" w:eastAsia="黑体" w:hAnsi="宋体" w:cs="黑体" w:hint="eastAsia"/>
          <w:kern w:val="2"/>
          <w:sz w:val="32"/>
          <w:szCs w:val="32"/>
          <w:lang w:val="en-US" w:eastAsia="zh-CN"/>
        </w:rPr>
        <w:t xml:space="preserve">（十二）国有资产占有使用情况说明</w:t>
      </w:r>
      <w:bookmarkEnd w:id="58"/>
      <w:bookmarkEnd w:id="59"/>
    </w:p>
    <w:p>
      <w:pPr>
        <w:spacing w:beforeLines="0" w:afterLines="0" w:line="600" w:lineRule="exact"/>
        <w:ind w:firstLine="594"/>
        <w:rPr>
          <w:rFonts w:ascii="楷体" w:eastAsia="楷体" w:hAnsi="楷体" w:hint="eastAsia"/>
          <w:b/>
          <w:color w:val="000000"/>
          <w:sz w:val="32"/>
          <w:szCs w:val="24"/>
          <w:highlight w:val="none"/>
          <w:lang w:val="en-US"/>
        </w:rPr>
      </w:pPr>
      <w:r>
        <w:rPr>
          <w:rFonts w:ascii="仿宋" w:eastAsia="仿宋" w:hAnsi="仿宋" w:cs="仿宋" w:hint="eastAsia"/>
          <w:color w:val="000000"/>
          <w:sz w:val="32"/>
          <w:szCs w:val="24"/>
          <w:highlight w:val="none"/>
          <w:lang w:val="en-US"/>
        </w:rPr>
        <w:t xml:space="preserve">截至</w:t>
      </w:r>
      <w:r>
        <w:rPr>
          <w:rFonts w:ascii="仿宋" w:eastAsia="仿宋" w:hAnsi="仿宋" w:cs="仿宋" w:hint="eastAsia"/>
          <w:color w:val="000000"/>
          <w:sz w:val="32"/>
          <w:szCs w:val="24"/>
          <w:highlight w:val="none"/>
          <w:lang w:val="en-US" w:eastAsia="zh-CN"/>
        </w:rPr>
        <w:t xml:space="preserve">2023</w:t>
      </w:r>
      <w:r>
        <w:rPr>
          <w:rFonts w:ascii="仿宋" w:eastAsia="仿宋" w:hAnsi="仿宋" w:cs="仿宋" w:hint="eastAsia"/>
          <w:color w:val="000000"/>
          <w:sz w:val="32"/>
          <w:szCs w:val="24"/>
          <w:highlight w:val="none"/>
          <w:lang w:val="en-US"/>
        </w:rPr>
        <w:t xml:space="preserve">年12月31日，</w:t>
      </w:r>
      <w:r>
        <w:rPr>
          <w:rFonts w:ascii="仿宋" w:eastAsia="仿宋" w:hAnsi="仿宋" w:cs="仿宋" w:hint="eastAsia"/>
          <w:kern w:val="2"/>
          <w:sz w:val="32"/>
          <w:szCs w:val="32"/>
          <w:highlight w:val="none"/>
          <w:lang w:val="en-US" w:eastAsia="zh-CN"/>
        </w:rPr>
        <w:t xml:space="preserve">衢州市财政国库支付中心</w:t>
      </w:r>
      <w:r>
        <w:rPr>
          <w:rFonts w:ascii="仿宋" w:eastAsia="仿宋" w:hAnsi="仿宋" w:cs="仿宋" w:hint="eastAsia"/>
          <w:color w:val="000000"/>
          <w:sz w:val="32"/>
          <w:szCs w:val="24"/>
          <w:highlight w:val="none"/>
          <w:lang w:val="en-US"/>
        </w:rPr>
        <w:t xml:space="preserve">共有车辆</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辆，其中，副部（省）级及以上领导用车</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辆、主要</w:t>
      </w:r>
      <w:r>
        <w:rPr>
          <w:rFonts w:ascii="仿宋" w:eastAsia="仿宋" w:hAnsi="仿宋" w:cs="仿宋" w:hint="eastAsia"/>
          <w:color w:val="000000"/>
          <w:sz w:val="32"/>
          <w:szCs w:val="24"/>
          <w:highlight w:val="none"/>
          <w:lang w:val="en-US" w:eastAsia="zh-CN"/>
        </w:rPr>
        <w:t xml:space="preserve">领导干部</w:t>
      </w:r>
      <w:r>
        <w:rPr>
          <w:rFonts w:ascii="仿宋" w:eastAsia="仿宋" w:hAnsi="仿宋" w:cs="仿宋" w:hint="eastAsia"/>
          <w:color w:val="000000"/>
          <w:sz w:val="32"/>
          <w:szCs w:val="24"/>
          <w:highlight w:val="none"/>
          <w:lang w:val="en-US"/>
        </w:rPr>
        <w:t xml:space="preserve">用车</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辆、机要通信用车</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辆、应急保障用车</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辆、执法执勤用车</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辆、特种专业技术用车</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辆、离退休干部用车</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辆、其他用车</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辆</w:t>
      </w:r>
      <w:r>
        <w:rPr>
          <w:rFonts w:ascii="仿宋" w:eastAsia="仿宋" w:hAnsi="仿宋" w:cs="仿宋" w:hint="eastAsia"/>
          <w:color w:val="000000"/>
          <w:sz w:val="32"/>
          <w:szCs w:val="24"/>
          <w:highlight w:val="none"/>
          <w:lang w:val="en-US"/>
        </w:rPr>
        <w:t xml:space="preserve">；单价100万元以上设备（不含车辆）</w:t>
      </w:r>
      <w:r>
        <w:rPr>
          <w:rFonts w:ascii="仿宋" w:eastAsia="仿宋" w:hAnsi="仿宋" w:cs="仿宋" w:hint="eastAsia"/>
          <w:color w:val="000000"/>
          <w:sz w:val="32"/>
          <w:szCs w:val="24"/>
          <w:highlight w:val="none"/>
          <w:lang w:val="en-US" w:eastAsia="zh-CN"/>
        </w:rPr>
        <w:t xml:space="preserve">0</w:t>
      </w:r>
      <w:r>
        <w:rPr>
          <w:rFonts w:ascii="仿宋" w:eastAsia="仿宋" w:hAnsi="仿宋" w:cs="仿宋" w:hint="eastAsia"/>
          <w:color w:val="000000"/>
          <w:sz w:val="32"/>
          <w:szCs w:val="24"/>
          <w:highlight w:val="none"/>
          <w:lang w:val="en-US"/>
        </w:rPr>
        <w:t xml:space="preserve">台（套）。</w:t>
      </w:r>
      <w:r>
        <w:rPr>
          <w:rFonts w:ascii="仿宋" w:eastAsia="仿宋" w:hAnsi="仿宋" w:hint="eastAsia"/>
          <w:color w:val="000000"/>
          <w:sz w:val="32"/>
          <w:szCs w:val="24"/>
          <w:highlight w:val="none"/>
          <w:lang w:val="en-US"/>
        </w:rPr>
        <w:t xml:space="preserve"> </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60" w:name="_Toc7528"/>
      <w:bookmarkStart w:id="61" w:name="_Toc_1_2_0000000060"/>
      <w:r>
        <w:rPr>
          <w:rFonts w:ascii="黑体" w:eastAsia="黑体" w:hAnsi="宋体" w:cs="黑体" w:hint="eastAsia"/>
          <w:kern w:val="2"/>
          <w:sz w:val="32"/>
          <w:szCs w:val="32"/>
          <w:lang w:val="en-US" w:eastAsia="zh-CN"/>
        </w:rPr>
        <w:t xml:space="preserve">（十三）预算绩效情况说明</w:t>
      </w:r>
      <w:bookmarkEnd w:id="60"/>
      <w:bookmarkEnd w:id="61"/>
    </w:p>
    <w:p>
      <w:pPr>
        <w:spacing w:beforeLines="0" w:afterLines="0" w:line="600" w:lineRule="exact"/>
        <w:ind w:firstLine="594"/>
        <w:outlineLvl w:val="9"/>
        <w:rPr>
          <w:rFonts w:ascii="仿宋" w:eastAsia="仿宋" w:hAnsi="仿宋" w:cs="仿宋" w:hint="eastAsia"/>
          <w:color w:val="000000"/>
          <w:sz w:val="32"/>
          <w:szCs w:val="24"/>
          <w:highlight w:val="none"/>
          <w:lang w:val="en-US"/>
        </w:rPr>
      </w:pPr>
      <w:r>
        <w:rPr>
          <w:rFonts w:ascii="仿宋" w:eastAsia="仿宋" w:hAnsi="仿宋" w:cs="仿宋" w:hint="eastAsia"/>
          <w:b/>
          <w:color w:val="000000"/>
          <w:sz w:val="32"/>
          <w:szCs w:val="24"/>
          <w:highlight w:val="none"/>
          <w:lang w:val="en-US"/>
        </w:rPr>
        <w:t xml:space="preserve">1.预算绩效管理工作开展情况</w:t>
      </w:r>
    </w:p>
    <w:p>
      <w:pPr>
        <w:spacing w:beforeLines="0" w:afterLines="0" w:line="600" w:lineRule="exact"/>
        <w:ind w:firstLine="640"/>
        <w:rPr>
          <w:rFonts w:ascii="仿宋" w:eastAsia="仿宋" w:hAnsi="仿宋" w:cs="仿宋" w:hint="eastAsia"/>
          <w:kern w:val="2"/>
          <w:sz w:val="32"/>
          <w:szCs w:val="32"/>
          <w:highlight w:val="none"/>
          <w:lang w:val="en-US" w:eastAsia="zh-CN"/>
        </w:rPr>
      </w:pPr>
      <w:r>
        <w:rPr>
          <w:rFonts w:ascii="仿宋" w:eastAsia="仿宋" w:hAnsi="仿宋" w:cs="仿宋" w:hint="eastAsia"/>
          <w:color w:val="000000"/>
          <w:sz w:val="32"/>
          <w:szCs w:val="24"/>
          <w:highlight w:val="none"/>
          <w:lang w:val="en-US"/>
        </w:rPr>
        <w:t xml:space="preserve">根据预算绩效管理要求，</w:t>
      </w:r>
      <w:r>
        <w:rPr>
          <w:rFonts w:ascii="仿宋" w:eastAsia="仿宋" w:hAnsi="仿宋" w:cs="仿宋" w:hint="eastAsia"/>
          <w:kern w:val="2"/>
          <w:sz w:val="32"/>
          <w:szCs w:val="32"/>
          <w:highlight w:val="none"/>
          <w:lang w:val="en-US" w:eastAsia="zh-CN"/>
        </w:rPr>
        <w:t xml:space="preserve">衢州市财政国库支付中心</w:t>
      </w:r>
      <w:r>
        <w:rPr>
          <w:rFonts w:ascii="仿宋" w:eastAsia="仿宋" w:hAnsi="仿宋" w:cs="仿宋" w:hint="eastAsia"/>
          <w:color w:val="000000"/>
          <w:sz w:val="32"/>
          <w:szCs w:val="24"/>
          <w:highlight w:val="none"/>
          <w:lang w:val="en-US"/>
        </w:rPr>
        <w:t xml:space="preserve">组织对</w:t>
      </w:r>
      <w:r>
        <w:rPr>
          <w:rFonts w:ascii="仿宋" w:eastAsia="仿宋" w:hAnsi="仿宋" w:cs="仿宋" w:hint="eastAsia"/>
          <w:color w:val="000000"/>
          <w:sz w:val="32"/>
          <w:szCs w:val="24"/>
          <w:highlight w:val="none"/>
          <w:lang w:val="en-US" w:eastAsia="zh-CN"/>
        </w:rPr>
        <w:t xml:space="preserve">2023</w:t>
      </w:r>
      <w:r>
        <w:rPr>
          <w:rFonts w:ascii="仿宋" w:eastAsia="仿宋" w:hAnsi="仿宋" w:cs="仿宋" w:hint="eastAsia"/>
          <w:color w:val="000000"/>
          <w:sz w:val="32"/>
          <w:szCs w:val="24"/>
          <w:highlight w:val="none"/>
          <w:lang w:val="en-US"/>
        </w:rPr>
        <w:t xml:space="preserve">年度一般公共预算项目支出全面开展绩效自评，其中，一级项目</w:t>
      </w:r>
      <w:r>
        <w:rPr>
          <w:rFonts w:ascii="仿宋" w:eastAsia="仿宋" w:hAnsi="仿宋" w:cs="仿宋" w:hint="eastAsia"/>
          <w:kern w:val="2"/>
          <w:sz w:val="32"/>
          <w:szCs w:val="32"/>
          <w:highlight w:val="none"/>
          <w:lang w:val="en-US" w:eastAsia="zh-CN"/>
        </w:rPr>
        <w:t xml:space="preserve">0</w:t>
      </w:r>
      <w:r>
        <w:rPr>
          <w:rFonts w:ascii="仿宋" w:eastAsia="仿宋" w:hAnsi="仿宋" w:cs="仿宋" w:hint="eastAsia"/>
          <w:color w:val="000000"/>
          <w:sz w:val="32"/>
          <w:szCs w:val="24"/>
          <w:highlight w:val="none"/>
          <w:lang w:val="en-US"/>
        </w:rPr>
        <w:t xml:space="preserve">个，二级项目</w:t>
      </w:r>
      <w:r>
        <w:rPr>
          <w:rFonts w:ascii="仿宋" w:eastAsia="仿宋" w:hAnsi="仿宋" w:cs="仿宋" w:hint="eastAsia"/>
          <w:kern w:val="2"/>
          <w:sz w:val="32"/>
          <w:szCs w:val="32"/>
          <w:highlight w:val="none"/>
          <w:lang w:val="en-US" w:eastAsia="zh-CN"/>
        </w:rPr>
        <w:t xml:space="preserve">0</w:t>
      </w:r>
      <w:r>
        <w:rPr>
          <w:rFonts w:ascii="仿宋" w:eastAsia="仿宋" w:hAnsi="仿宋" w:cs="仿宋" w:hint="eastAsia"/>
          <w:color w:val="000000"/>
          <w:sz w:val="32"/>
          <w:szCs w:val="24"/>
          <w:highlight w:val="none"/>
          <w:lang w:val="en-US"/>
        </w:rPr>
        <w:t xml:space="preserve">个，共涉及资金</w:t>
      </w:r>
      <w:r>
        <w:rPr>
          <w:rFonts w:ascii="仿宋" w:eastAsia="仿宋" w:hAnsi="仿宋" w:cs="仿宋" w:hint="eastAsia"/>
          <w:kern w:val="2"/>
          <w:sz w:val="32"/>
          <w:szCs w:val="32"/>
          <w:highlight w:val="none"/>
          <w:lang w:val="en-US" w:eastAsia="zh-CN"/>
        </w:rPr>
        <w:t xml:space="preserve">0</w:t>
      </w:r>
      <w:r>
        <w:rPr>
          <w:rFonts w:ascii="仿宋" w:eastAsia="仿宋" w:hAnsi="仿宋" w:cs="仿宋" w:hint="eastAsia"/>
          <w:color w:val="000000"/>
          <w:sz w:val="32"/>
          <w:szCs w:val="24"/>
          <w:highlight w:val="none"/>
          <w:lang w:val="en-US"/>
        </w:rPr>
        <w:t xml:space="preserve">万元，占一般公共预算项目支出总额的</w:t>
      </w:r>
      <w:r>
        <w:rPr>
          <w:rFonts w:ascii="仿宋" w:eastAsia="仿宋" w:hAnsi="仿宋" w:cs="仿宋" w:hint="eastAsia"/>
          <w:kern w:val="2"/>
          <w:sz w:val="32"/>
          <w:szCs w:val="32"/>
          <w:highlight w:val="none"/>
          <w:lang w:val="en-US" w:eastAsia="zh-CN"/>
        </w:rPr>
        <w:t xml:space="preserve">0%。</w:t>
      </w:r>
    </w:p>
    <w:p>
      <w:pPr>
        <w:spacing w:beforeLines="0" w:afterLines="0" w:line="600" w:lineRule="exact"/>
        <w:ind w:firstLine="320" w:firstLineChars="100"/>
        <w:rPr>
          <w:rFonts w:ascii="仿宋" w:eastAsia="仿宋" w:hAnsi="仿宋" w:cs="仿宋" w:hint="eastAsia"/>
          <w:color w:val="000000"/>
          <w:sz w:val="32"/>
          <w:szCs w:val="24"/>
          <w:highlight w:val="none"/>
          <w:lang w:val="en-US"/>
        </w:rPr>
      </w:pPr>
      <w:r>
        <w:rPr>
          <w:rFonts w:ascii="仿宋" w:eastAsia="仿宋" w:hAnsi="仿宋" w:cs="仿宋" w:hint="eastAsia"/>
          <w:kern w:val="2"/>
          <w:sz w:val="32"/>
          <w:szCs w:val="32"/>
          <w:highlight w:val="none"/>
          <w:lang w:val="en-US" w:eastAsia="zh-CN"/>
        </w:rPr>
        <w:t xml:space="preserve">本年无政府性基金预算项目。</w:t>
      </w:r>
    </w:p>
    <w:p>
      <w:pPr>
        <w:spacing w:beforeLines="0" w:afterLines="0" w:line="600" w:lineRule="exact"/>
        <w:ind w:firstLine="320" w:firstLineChars="100"/>
        <w:rPr>
          <w:rFonts w:ascii="仿宋" w:eastAsia="仿宋" w:hAnsi="仿宋" w:cs="仿宋" w:hint="eastAsia"/>
          <w:color w:val="000000"/>
          <w:sz w:val="32"/>
          <w:szCs w:val="24"/>
          <w:highlight w:val="none"/>
          <w:lang w:val="en-US"/>
        </w:rPr>
      </w:pPr>
      <w:r>
        <w:rPr>
          <w:rFonts w:ascii="仿宋" w:eastAsia="仿宋" w:hAnsi="仿宋" w:cs="仿宋" w:hint="eastAsia"/>
          <w:kern w:val="2"/>
          <w:sz w:val="32"/>
          <w:szCs w:val="32"/>
          <w:highlight w:val="none"/>
          <w:lang w:val="en-US" w:eastAsia="zh-CN"/>
        </w:rPr>
        <w:t xml:space="preserve">本年无国有资本经营预算项目。</w:t>
      </w:r>
    </w:p>
    <w:p>
      <w:pPr>
        <w:spacing w:beforeLines="0" w:afterLines="0" w:line="600" w:lineRule="exact"/>
        <w:ind w:firstLine="320" w:firstLineChars="100"/>
        <w:rPr>
          <w:rFonts w:ascii="仿宋" w:eastAsia="仿宋" w:hAnsi="仿宋" w:cs="仿宋" w:hint="eastAsia"/>
          <w:kern w:val="2"/>
          <w:sz w:val="32"/>
          <w:szCs w:val="32"/>
          <w:highlight w:val="none"/>
          <w:lang w:val="en-US" w:eastAsia="zh-CN"/>
        </w:rPr>
      </w:pPr>
      <w:r>
        <w:rPr>
          <w:rFonts w:ascii="仿宋" w:eastAsia="仿宋" w:hAnsi="仿宋" w:cs="仿宋" w:hint="eastAsia"/>
          <w:kern w:val="2"/>
          <w:sz w:val="32"/>
          <w:szCs w:val="32"/>
          <w:highlight w:val="none"/>
          <w:lang w:val="en-US" w:eastAsia="zh-CN"/>
        </w:rPr>
        <w:t xml:space="preserve">本年无部门评价。</w:t>
      </w:r>
    </w:p>
    <w:p>
      <w:pPr>
        <w:spacing w:beforeLines="0" w:afterLines="0" w:line="600" w:lineRule="exact"/>
        <w:ind w:firstLine="320" w:firstLineChars="100"/>
        <w:rPr>
          <w:rFonts w:ascii="仿宋" w:eastAsia="仿宋" w:hAnsi="仿宋" w:cs="仿宋" w:hint="eastAsia"/>
          <w:kern w:val="2"/>
          <w:sz w:val="32"/>
          <w:szCs w:val="32"/>
          <w:highlight w:val="none"/>
          <w:lang w:val="en-US" w:eastAsia="zh-CN"/>
        </w:rPr>
      </w:pPr>
      <w:r>
        <w:rPr>
          <w:rFonts w:ascii="仿宋" w:eastAsia="仿宋" w:hAnsi="仿宋" w:cs="仿宋" w:hint="eastAsia"/>
          <w:kern w:val="2"/>
          <w:sz w:val="32"/>
          <w:szCs w:val="32"/>
          <w:highlight w:val="none"/>
          <w:lang w:val="en-US" w:eastAsia="zh-CN"/>
        </w:rPr>
        <w:t xml:space="preserve">本年无部门整体支出绩效评价。</w:t>
      </w:r>
    </w:p>
    <w:p>
      <w:pPr>
        <w:spacing w:beforeLines="0" w:afterLines="0" w:line="600" w:lineRule="exact"/>
        <w:ind w:firstLine="320" w:firstLineChars="100"/>
        <w:rPr>
          <w:rFonts w:ascii="仿宋" w:eastAsia="仿宋" w:hAnsi="仿宋" w:cs="仿宋" w:hint="eastAsia"/>
          <w:kern w:val="2"/>
          <w:sz w:val="32"/>
          <w:szCs w:val="32"/>
          <w:highlight w:val="none"/>
          <w:lang w:val="en-US" w:eastAsia="zh-CN"/>
        </w:rPr>
      </w:pPr>
      <w:r>
        <w:rPr>
          <w:rFonts w:ascii="仿宋" w:eastAsia="仿宋" w:hAnsi="仿宋" w:cs="仿宋" w:hint="eastAsia"/>
          <w:kern w:val="2"/>
          <w:sz w:val="32"/>
          <w:szCs w:val="32"/>
          <w:highlight w:val="none"/>
          <w:lang w:val="en-US" w:eastAsia="zh-CN"/>
        </w:rPr>
        <w:t xml:space="preserve">本年无下属部门或单位整体支出绩效评价。</w:t>
      </w:r>
    </w:p>
    <w:p>
      <w:pPr>
        <w:numPr>
          <w:ilvl w:val="0"/>
          <w:numId w:val="0"/>
        </w:numPr>
        <w:spacing w:beforeLines="0" w:afterLines="0" w:line="600" w:lineRule="exact"/>
        <w:ind w:firstLine="640" w:firstLineChars="200"/>
        <w:rPr>
          <w:rFonts w:ascii="仿宋" w:eastAsia="仿宋" w:hAnsi="仿宋" w:cs="仿宋" w:hint="eastAsia"/>
          <w:b/>
          <w:color w:val="000000"/>
          <w:sz w:val="32"/>
          <w:szCs w:val="24"/>
          <w:highlight w:val="none"/>
          <w:lang w:val="en-US"/>
        </w:rPr>
      </w:pPr>
      <w:r>
        <w:rPr>
          <w:rFonts w:ascii="仿宋" w:eastAsia="仿宋" w:hAnsi="仿宋" w:cs="仿宋" w:hint="eastAsia"/>
          <w:b/>
          <w:color w:val="000000"/>
          <w:sz w:val="32"/>
          <w:szCs w:val="24"/>
          <w:highlight w:val="none"/>
          <w:lang w:val="en-US" w:eastAsia="zh-CN"/>
        </w:rPr>
        <w:t xml:space="preserve">2</w:t>
      </w:r>
      <w:r>
        <w:rPr>
          <w:rFonts w:ascii="仿宋" w:eastAsia="仿宋" w:hAnsi="仿宋" w:cs="仿宋" w:hint="eastAsia"/>
          <w:b/>
          <w:color w:val="000000"/>
          <w:sz w:val="32"/>
          <w:szCs w:val="24"/>
          <w:highlight w:val="none"/>
          <w:lang w:val="en-US"/>
        </w:rPr>
        <w:t xml:space="preserve">.单位决算中项目绩效自评结果</w:t>
      </w:r>
    </w:p>
    <w:p>
      <w:pPr>
        <w:spacing w:beforeLines="0" w:afterLines="0" w:line="600" w:lineRule="exact"/>
        <w:rPr>
          <w:rFonts w:ascii="仿宋" w:eastAsia="仿宋" w:hAnsi="仿宋" w:cs="仿宋" w:hint="eastAsia"/>
          <w:color w:val="000000"/>
          <w:sz w:val="32"/>
          <w:szCs w:val="24"/>
          <w:highlight w:val="none"/>
          <w:lang w:val="en-US"/>
        </w:rPr>
      </w:pPr>
      <w:r>
        <w:rPr>
          <w:rFonts w:ascii="仿宋" w:eastAsia="仿宋" w:hAnsi="仿宋" w:cs="仿宋" w:hint="eastAsia"/>
          <w:kern w:val="2"/>
          <w:sz w:val="32"/>
          <w:szCs w:val="32"/>
          <w:highlight w:val="none"/>
          <w:lang w:val="en-US" w:eastAsia="zh-CN"/>
        </w:rPr>
        <w:t xml:space="preserve">    衢州市财政国库支付中心随决算公开2023年度本单位项目支出绩效自评结果（详见附件）。其中，浙里报账项目和国库集中业务费项目绩效自评具体情况如下：</w:t>
      </w:r>
    </w:p>
    <w:p>
      <w:pPr>
        <w:spacing w:beforeLines="0" w:afterLines="0" w:line="600" w:lineRule="exact"/>
        <w:rPr>
          <w:rFonts w:ascii="仿宋" w:eastAsia="仿宋" w:hAnsi="仿宋" w:cs="仿宋" w:hint="eastAsia"/>
          <w:kern w:val="2"/>
          <w:sz w:val="32"/>
          <w:szCs w:val="32"/>
          <w:highlight w:val="none"/>
          <w:lang w:val="en-US" w:eastAsia="zh-CN"/>
        </w:rPr>
        <w:sectPr>
          <w:pgSz w:w="11906" w:h="16838" w:orient="portrait"/>
          <w:pgMar w:top="1440" w:right="1800" w:bottom="1440" w:left="1800" w:header="851" w:footer="992" w:gutter="0"/>
          <w:pgBorders/>
          <w:pgNumType w:fmt="decimal"/>
          <w:cols w:num="1" w:space="425">
            <w:col w:w="8306" w:space="425"/>
          </w:cols>
          <w:docGrid w:type="lines" w:linePitch="312" w:charSpace="0"/>
        </w:sectPr>
      </w:pPr>
      <w:r>
        <w:rPr>
          <w:rFonts w:ascii="仿宋" w:eastAsia="仿宋" w:hAnsi="仿宋" w:cs="仿宋" w:hint="eastAsia"/>
          <w:kern w:val="2"/>
          <w:sz w:val="32"/>
          <w:szCs w:val="32"/>
          <w:highlight w:val="none"/>
          <w:lang w:val="en-US" w:eastAsia="zh-CN"/>
        </w:rPr>
        <w:t xml:space="preserve">    浙里报账项目绩效自评综述：根据年初设定的绩效目标，项目自评得分100分，自评结论为“优”。项目全年预算数为17.95万元，执行数为17.95，完成预算的100%。项目绩效目标完成情况：顺利完成财政国库支付业务，保证了财政资金支付安全。发现的问题及原因：一是财政国库支付业务效率有待提高；二是财政资金使用效益有待进一步优化。下一步改进措施：一是提高国库支付业务效率；二是提高财政资金使用效益。</w:t>
      </w:r>
    </w:p>
    <w:p>
      <w:pPr>
        <w:pStyle w:val="Normal_6eed6b25-5020-41e4-bfd2-73dfd03e40da"/>
        <w:sectPr>
          <w:headerReference w:type="default" r:id="rId6"/>
          <w:pgSz w:w="11907" w:h="16839"/>
          <w:pgMar w:top="2" w:right="2" w:bottom="992" w:left="2" w:header="0" w:footer="720" w:gutter="0"/>
          <w:pgBorders/>
        </w:sectPr>
      </w:pPr>
      <w:r>
        <w:pict>
          <v:shape id="_x0000_i3009" type="#_x0000_t75" style="height:792.25pt;width:595.15pt" o:bordertopcolor="this" o:borderleftcolor="this" o:borderbottomcolor="this" o:borderrightcolor="this">
            <v:imagedata r:id="rId7" o:title=""/>
          </v:shape>
        </w:pict>
      </w:r>
    </w:p>
    <w:p>
      <w:pPr>
        <w:spacing w:beforeLines="0" w:afterLines="0" w:line="600" w:lineRule="exact"/>
        <w:rPr>
          <w:rFonts w:ascii="仿宋" w:eastAsia="仿宋" w:hAnsi="仿宋" w:cs="仿宋" w:hint="eastAsia"/>
          <w:kern w:val="2"/>
          <w:sz w:val="32"/>
          <w:szCs w:val="32"/>
          <w:highlight w:val="none"/>
          <w:lang w:val="en-US" w:eastAsia="zh-CN"/>
        </w:rPr>
        <w:sectPr>
          <w:type w:val="nextPage"/>
          <w:pgSz w:w="11906" w:h="16838" w:orient="portrait"/>
          <w:pgMar w:top="1440" w:right="1800" w:bottom="1440" w:left="1800" w:header="851" w:footer="992" w:gutter="0"/>
          <w:pgBorders/>
          <w:pgNumType w:fmt="decimal"/>
          <w:cols w:num="1" w:space="425">
            <w:col w:w="8306" w:space="425"/>
          </w:cols>
          <w:docGrid w:type="lines" w:linePitch="312" w:charSpace="0"/>
        </w:sectPr>
      </w:pPr>
      <w:r>
        <w:rPr>
          <w:rFonts w:ascii="仿宋" w:eastAsia="仿宋" w:hAnsi="仿宋" w:cs="仿宋" w:hint="eastAsia"/>
          <w:kern w:val="2"/>
          <w:sz w:val="32"/>
          <w:szCs w:val="32"/>
          <w:highlight w:val="none"/>
          <w:lang w:val="en-US" w:eastAsia="zh-CN"/>
        </w:rPr>
        <w:t xml:space="preserve">    国库集中业务费项目绩效自评综述：根据年初设定的绩效目标，项目自评得分100分，自评结论为“优”。项目全年预算数为15万元，执行数为14.65万元，完成预算的97.64%。项目绩效目标完成情况：按时完成国库集中支付各项工作任务。发现的问题及原因：一是财政国库支付各项工作任务完成效率有待提高；二是财政资金使用效益有待进一步优化。下一步改进措施：一是提高国库支付各项工作任务完成效率；二是提高财政资金使用效益。</w:t>
      </w:r>
    </w:p>
    <w:p>
      <w:pPr>
        <w:pStyle w:val="Normal_6eed6b25-5020-41e4-bfd2-73dfd03e40da"/>
        <w:sectPr>
          <w:headerReference w:type="default" r:id="rId8"/>
          <w:pgSz w:w="11907" w:h="16839"/>
          <w:pgMar w:top="2" w:right="2" w:bottom="992" w:left="2" w:header="0" w:footer="720" w:gutter="0"/>
          <w:pgBorders/>
        </w:sectPr>
      </w:pPr>
      <w:r>
        <w:pict>
          <v:shape id="_x0000_i3010" type="#_x0000_t75" style="height:792.25pt;width:595.15pt" o:bordertopcolor="this" o:borderleftcolor="this" o:borderbottomcolor="this" o:borderrightcolor="this">
            <v:imagedata r:id="rId9" o:title=""/>
          </v:shape>
        </w:pict>
      </w:r>
    </w:p>
    <w:p>
      <w:pPr>
        <w:numPr>
          <w:ilvl w:val="0"/>
          <w:numId w:val="0"/>
        </w:numPr>
        <w:spacing w:beforeLines="0" w:afterLines="0" w:line="600" w:lineRule="exact"/>
        <w:ind w:firstLine="640" w:firstLineChars="200"/>
        <w:rPr>
          <w:rFonts w:ascii="仿宋" w:eastAsia="仿宋" w:hAnsi="仿宋" w:cs="仿宋" w:hint="eastAsia"/>
          <w:b/>
          <w:color w:val="000000"/>
          <w:sz w:val="32"/>
          <w:szCs w:val="24"/>
          <w:highlight w:val="none"/>
          <w:lang w:val="en-US"/>
        </w:rPr>
      </w:pPr>
      <w:r>
        <w:rPr>
          <w:rFonts w:ascii="仿宋" w:eastAsia="仿宋" w:hAnsi="仿宋" w:cs="仿宋" w:hint="eastAsia"/>
          <w:b/>
          <w:color w:val="000000"/>
          <w:sz w:val="32"/>
          <w:szCs w:val="24"/>
          <w:highlight w:val="none"/>
          <w:lang w:val="en-US" w:eastAsia="zh-CN"/>
        </w:rPr>
        <w:t xml:space="preserve">3</w:t>
      </w:r>
      <w:r>
        <w:rPr>
          <w:rFonts w:ascii="仿宋" w:eastAsia="仿宋" w:hAnsi="仿宋" w:cs="仿宋" w:hint="eastAsia"/>
          <w:b/>
          <w:color w:val="000000"/>
          <w:sz w:val="32"/>
          <w:szCs w:val="24"/>
          <w:highlight w:val="none"/>
          <w:lang w:val="en-US"/>
        </w:rPr>
        <w:t xml:space="preserve">.财政评价项目绩效评价结果</w:t>
      </w:r>
    </w:p>
    <w:p>
      <w:pPr>
        <w:spacing w:beforeLines="0" w:afterLines="0" w:line="600" w:lineRule="exact"/>
        <w:rPr>
          <w:rFonts w:ascii="仿宋" w:eastAsia="仿宋" w:hAnsi="仿宋" w:cs="仿宋" w:hint="eastAsia"/>
          <w:b/>
          <w:color w:val="000000"/>
          <w:sz w:val="32"/>
          <w:szCs w:val="24"/>
          <w:highlight w:val="none"/>
          <w:lang w:val="en-US"/>
        </w:rPr>
      </w:pPr>
      <w:r>
        <w:rPr>
          <w:rFonts w:ascii="仿宋" w:eastAsia="仿宋" w:hAnsi="仿宋" w:cs="仿宋" w:hint="eastAsia"/>
          <w:kern w:val="2"/>
          <w:sz w:val="32"/>
          <w:szCs w:val="32"/>
          <w:highlight w:val="none"/>
          <w:lang w:val="en-US" w:eastAsia="zh-CN"/>
        </w:rPr>
        <w:t xml:space="preserve">    无。</w:t>
      </w:r>
    </w:p>
    <w:p>
      <w:pPr>
        <w:numPr>
          <w:ilvl w:val="0"/>
          <w:numId w:val="0"/>
        </w:numPr>
        <w:spacing w:beforeLines="0" w:afterLines="0" w:line="600" w:lineRule="exact"/>
        <w:ind w:left="641" w:leftChars="0"/>
        <w:rPr>
          <w:rFonts w:ascii="仿宋" w:eastAsia="仿宋" w:hAnsi="仿宋" w:cs="仿宋" w:hint="eastAsia"/>
          <w:b/>
          <w:color w:val="000000"/>
          <w:sz w:val="32"/>
          <w:szCs w:val="24"/>
          <w:highlight w:val="none"/>
          <w:lang w:val="en-US"/>
        </w:rPr>
      </w:pPr>
      <w:r>
        <w:rPr>
          <w:rFonts w:ascii="仿宋" w:eastAsia="仿宋" w:hAnsi="仿宋" w:cs="仿宋" w:hint="eastAsia"/>
          <w:b/>
          <w:color w:val="000000"/>
          <w:sz w:val="32"/>
          <w:szCs w:val="24"/>
          <w:highlight w:val="none"/>
          <w:lang w:val="en-US" w:eastAsia="zh-CN"/>
        </w:rPr>
        <w:t xml:space="preserve">4.</w:t>
      </w:r>
      <w:r>
        <w:rPr>
          <w:rFonts w:ascii="仿宋" w:eastAsia="仿宋" w:hAnsi="仿宋" w:cs="仿宋" w:hint="eastAsia"/>
          <w:b/>
          <w:color w:val="000000"/>
          <w:sz w:val="32"/>
          <w:szCs w:val="24"/>
          <w:highlight w:val="none"/>
          <w:lang w:val="en-US"/>
        </w:rPr>
        <w:t xml:space="preserve">部门评价项目绩效评价结果</w:t>
      </w:r>
    </w:p>
    <w:p>
      <w:pPr>
        <w:spacing w:beforeLines="0" w:afterLines="0" w:line="600" w:lineRule="exact"/>
        <w:rPr>
          <w:rFonts w:ascii="仿宋" w:eastAsia="仿宋" w:hAnsi="仿宋" w:cs="仿宋" w:hint="eastAsia"/>
          <w:b/>
          <w:color w:val="000000"/>
          <w:sz w:val="32"/>
          <w:szCs w:val="24"/>
          <w:highlight w:val="none"/>
          <w:lang w:val="en-US"/>
        </w:rPr>
      </w:pPr>
      <w:r>
        <w:rPr>
          <w:rFonts w:ascii="仿宋" w:eastAsia="仿宋" w:hAnsi="仿宋" w:cs="仿宋" w:hint="eastAsia"/>
          <w:kern w:val="2"/>
          <w:sz w:val="32"/>
          <w:szCs w:val="32"/>
          <w:highlight w:val="none"/>
          <w:lang w:val="en-US" w:eastAsia="zh-CN"/>
        </w:rPr>
        <w:t xml:space="preserve">    无。</w:t>
      </w:r>
    </w:p>
    <w:p>
      <w:pPr>
        <w:keepNext/>
        <w:keepLines/>
        <w:spacing w:beforeLines="0" w:afterLines="0" w:line="600" w:lineRule="exact"/>
        <w:ind w:firstLine="641"/>
        <w:jc w:val="left"/>
        <w:outlineLvl w:val="0"/>
        <w:rPr>
          <w:rFonts w:ascii="黑体" w:eastAsia="黑体" w:hAnsi="黑体" w:hint="eastAsia"/>
          <w:b w:val="0"/>
          <w:bCs/>
          <w:color w:val="000000"/>
          <w:sz w:val="32"/>
          <w:szCs w:val="24"/>
          <w:highlight w:val="none"/>
          <w:lang w:val="en-US"/>
        </w:rPr>
      </w:pPr>
      <w:bookmarkStart w:id="62" w:name="_Toc6172"/>
      <w:bookmarkStart w:id="63" w:name="_Toc_1_2_0000000061"/>
      <w:r>
        <w:rPr>
          <w:rFonts w:ascii="黑体" w:eastAsia="黑体" w:hAnsi="宋体" w:cs="黑体" w:hint="eastAsia"/>
          <w:kern w:val="2"/>
          <w:sz w:val="32"/>
          <w:szCs w:val="32"/>
          <w:lang w:val="en-US" w:eastAsia="zh-CN"/>
        </w:rPr>
        <w:t xml:space="preserve">四、名词解释</w:t>
      </w:r>
      <w:bookmarkEnd w:id="62"/>
      <w:bookmarkEnd w:id="63"/>
    </w:p>
    <w:p>
      <w:pPr>
        <w:spacing w:beforeLines="0" w:afterLines="0" w:line="600" w:lineRule="exact"/>
        <w:ind w:firstLine="640"/>
        <w:rPr>
          <w:rFonts w:ascii="仿宋" w:eastAsia="仿宋" w:hAnsi="仿宋" w:cs="仿宋" w:hint="eastAsia"/>
          <w:color w:val="000000"/>
          <w:sz w:val="32"/>
          <w:szCs w:val="24"/>
          <w:highlight w:val="none"/>
          <w:lang w:val="zh-CN"/>
        </w:rPr>
      </w:pPr>
      <w:r>
        <w:rPr>
          <w:rFonts w:ascii="仿宋" w:eastAsia="仿宋" w:hAnsi="仿宋" w:cs="仿宋" w:hint="eastAsia"/>
          <w:color w:val="000000"/>
          <w:sz w:val="32"/>
          <w:szCs w:val="24"/>
          <w:highlight w:val="none"/>
          <w:lang w:val="zh-CN"/>
        </w:rPr>
        <w:t xml:space="preserve">1.财政拨款收入：指本级财政部门当年拨付的财政预算资金，包括一般公共预算财政拨款、政府性基金预算财政拨款和国有资本经营预算财政拨款。</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zh-CN"/>
        </w:rPr>
        <w:t xml:space="preserve">2.事业收入：指事业单位开展专业业务活动及辅助活动所取得的收入。</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3.经营收入：指事业单位在专业业务活动及辅助活动之外开展非独立核算经营活动取得的收入。</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4.上级补助收入：指事业单位从主管部门和上级单位取得的非财政补助收入。</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5.附属单位上缴收入：指事业单位附属独立核算单位按照有关规定上缴的收入。</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6.其他收入：指预算单位在“财政拨款”、“事业收入”、“经营收入”、“上级补助收入”、“附属单位上缴收入”等之外取得的各项收入。</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7.使用非财政拨款结余</w:t>
      </w:r>
      <w:r>
        <w:rPr>
          <w:rFonts w:ascii="仿宋" w:eastAsia="仿宋" w:hAnsi="仿宋" w:cs="仿宋" w:hint="eastAsia"/>
          <w:color w:val="000000"/>
          <w:sz w:val="32"/>
          <w:szCs w:val="24"/>
          <w:highlight w:val="none"/>
          <w:lang w:val="en-US" w:eastAsia="zh-CN"/>
        </w:rPr>
        <w:t xml:space="preserve">（含专用结余）</w:t>
      </w:r>
      <w:r>
        <w:rPr>
          <w:rFonts w:ascii="仿宋" w:eastAsia="仿宋" w:hAnsi="仿宋" w:cs="仿宋" w:hint="eastAsia"/>
          <w:color w:val="000000"/>
          <w:sz w:val="32"/>
          <w:szCs w:val="24"/>
          <w:highlight w:val="none"/>
          <w:lang w:val="en-US"/>
        </w:rPr>
        <w:t xml:space="preserve">：指事业单位</w:t>
      </w:r>
      <w:r>
        <w:rPr>
          <w:rFonts w:ascii="仿宋" w:eastAsia="仿宋" w:hAnsi="仿宋" w:cs="仿宋" w:hint="eastAsia"/>
          <w:color w:val="000000"/>
          <w:sz w:val="32"/>
          <w:szCs w:val="24"/>
          <w:highlight w:val="none"/>
          <w:lang w:val="en-US" w:eastAsia="zh-CN"/>
        </w:rPr>
        <w:t xml:space="preserve">按照预算管理要求</w:t>
      </w:r>
      <w:r>
        <w:rPr>
          <w:rFonts w:ascii="仿宋" w:eastAsia="仿宋" w:hAnsi="仿宋" w:cs="仿宋" w:hint="eastAsia"/>
          <w:color w:val="000000"/>
          <w:sz w:val="32"/>
          <w:szCs w:val="24"/>
          <w:highlight w:val="none"/>
          <w:lang w:val="en-US"/>
        </w:rPr>
        <w:t xml:space="preserve">使用非财政拨款结余弥补收支差额的金额</w:t>
      </w:r>
      <w:r>
        <w:rPr>
          <w:rFonts w:ascii="仿宋" w:eastAsia="仿宋" w:hAnsi="仿宋" w:cs="仿宋" w:hint="eastAsia"/>
          <w:color w:val="000000"/>
          <w:sz w:val="32"/>
          <w:szCs w:val="24"/>
          <w:highlight w:val="none"/>
          <w:lang w:val="en-US" w:eastAsia="zh-CN"/>
        </w:rPr>
        <w:t xml:space="preserve">，以及使用专用结余安排支出的金额</w:t>
      </w:r>
      <w:r>
        <w:rPr>
          <w:rFonts w:ascii="仿宋" w:eastAsia="仿宋" w:hAnsi="仿宋" w:cs="仿宋" w:hint="eastAsia"/>
          <w:color w:val="000000"/>
          <w:sz w:val="32"/>
          <w:szCs w:val="24"/>
          <w:highlight w:val="none"/>
          <w:lang w:val="en-US"/>
        </w:rPr>
        <w:t xml:space="preserve">。</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8.年初结转和结余：指预算单位以前年度尚未完成、结转到本年仍按原规定用途继续使用的资金。</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9.年末结转和结余：指单位按有关规定结转到下年或以后年度继续使用的资金。</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10.基本支出：指预算单位为保障其正常运转，完成日常工作任务所发生的支出，包括人员经费支出和日常公用经费支出。</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11.项目支出：指预算单位为完成其特定的行政工作任务或事业发展目标所发生的支出。</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12.上缴上级支出：填列事业单位按照财政部门和主管部门的规定上缴上级单位的支出。</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13.经营支出：指事业单位在专业业务活动及其辅助活动之外开展非独立核算经营活动发生的支出。</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14.附属单位补助支出：填列事业单位用财政补助收入之外的收入对附属单位补助发生的支出。</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15.“三公”经费：纳入财政预决算管理的“三公”经费，是指部门用财政拨款安排的因公出国（境）费用、公务用车购置及运行费和公务接待费。其中，因公出国（境）费用反映单位公务出国（境）的国际旅费、国外城市间交通费、住宿费、伙食费、培训费、公杂费等支出，不含教学科研人员学术交流；公务用车购置及运行费反映单位公务用车车辆购置支出（含车辆购置税）及燃费、维修费、过桥过路费、保险费等支出；公务接待费反映单位按规定开支的各类公务接待（含外宾接待）支出。</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16.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600" w:lineRule="exact"/>
        <w:ind w:firstLine="640" w:firstLineChars="200"/>
        <w:rPr>
          <w:rFonts w:ascii="仿宋" w:eastAsia="仿宋" w:hAnsi="仿宋" w:cs="仿宋" w:hint="eastAsia"/>
          <w:color w:val="000000"/>
          <w:sz w:val="32"/>
          <w:szCs w:val="24"/>
          <w:highlight w:val="none"/>
        </w:rPr>
      </w:pPr>
      <w:r>
        <w:rPr>
          <w:rFonts w:ascii="仿宋" w:eastAsia="仿宋" w:hAnsi="仿宋" w:cs="仿宋" w:hint="eastAsia"/>
          <w:kern w:val="0"/>
          <w:sz w:val="32"/>
          <w:szCs w:val="32"/>
          <w:highlight w:val="none"/>
          <w:lang w:val="en-US" w:eastAsia="zh-CN"/>
        </w:rPr>
        <w:t xml:space="preserve">17.一般公共服务支出（类）财政事务（款）行政运行（项）：指反映行政单位（包括实行公务员管理的事业单位）的基本支出。</w:t>
        <w:br/>
        <w:t xml:space="preserve">    18.社会保障和就业支出（类））行政事业单位养老支出（款）机关事业单位基本养老保险缴费支出（项）：指反映机关事业单位实施养老保险制度由单位缴纳的基本养老保险费支出。</w:t>
        <w:br/>
        <w:t xml:space="preserve">    19.社会保障和就业支出（类）行政事业单位养老支出（款）机关事业单位职业年金缴费支出（项）：指反映机关事业单位实施养老保险制度由单位实际缴纳的职业年金支出。</w:t>
        <w:br/>
        <w:t xml:space="preserve">    20.社会保障和就业支出（类）行政事业单位养老支出（款）其他行政事业单位养老支出（项）：主要用于机关事业单位离休干部经费。</w:t>
        <w:br/>
        <w:t xml:space="preserve">    21.卫生健康支出（类）行政事业单位医疗（款）其他行政事业单位医疗支出（项）：指主要用于机关事业单位公务员医疗补助费用支出。</w:t>
        <w:br/>
        <w:t xml:space="preserve">    22.住房保障支出（类）住房改革支出（款）住房公积金（项）：指反映机关事业单位按照国家政策规定为干部职工缴纳的住房公积金支出。</w:t>
      </w:r>
    </w:p>
    <w:p>
      <w:pPr>
        <w:spacing w:beforeLines="0" w:afterLines="0" w:line="600" w:lineRule="exact"/>
        <w:rPr>
          <w:rFonts w:ascii="仿宋_GB2312" w:eastAsia="仿宋_GB2312" w:hAnsi="Times New Roman" w:cs="仿宋_GB2312" w:hint="eastAsia"/>
          <w:kern w:val="2"/>
          <w:sz w:val="32"/>
          <w:szCs w:val="32"/>
          <w:highlight w:val="none"/>
          <w:lang w:val="en-US" w:eastAsia="zh-CN"/>
        </w:rPr>
      </w:pPr>
    </w:p>
    <w:p>
      <w:pPr>
        <w:keepNext/>
        <w:keepLines/>
        <w:spacing w:beforeLines="0" w:afterLines="0" w:line="600" w:lineRule="exact"/>
        <w:ind w:firstLine="641"/>
        <w:jc w:val="left"/>
        <w:outlineLvl w:val="0"/>
        <w:rPr>
          <w:rFonts w:ascii="黑体" w:eastAsia="黑体" w:hAnsi="黑体" w:hint="eastAsia"/>
          <w:b w:val="0"/>
          <w:bCs/>
          <w:color w:val="000000"/>
          <w:sz w:val="32"/>
          <w:szCs w:val="24"/>
          <w:highlight w:val="none"/>
          <w:lang w:val="en-US"/>
        </w:rPr>
        <w:sectPr>
          <w:type w:val="nextPage"/>
          <w:pgSz w:w="11906" w:h="16838" w:orient="portrait"/>
          <w:pgMar w:top="1440" w:right="1800" w:bottom="1440" w:left="1800" w:header="851" w:footer="992" w:gutter="0"/>
          <w:pgBorders/>
          <w:pgNumType w:fmt="decimal"/>
          <w:cols w:num="1" w:space="425">
            <w:col w:w="8306" w:space="425"/>
          </w:cols>
          <w:docGrid w:type="lines" w:linePitch="312" w:charSpace="0"/>
        </w:sectPr>
      </w:pPr>
      <w:bookmarkStart w:id="64" w:name="_Toc439"/>
      <w:bookmarkStart w:id="65" w:name="_Toc_1_2_0000000062"/>
      <w:r>
        <w:rPr>
          <w:rFonts w:ascii="黑体" w:eastAsia="黑体" w:hAnsi="宋体" w:cs="黑体" w:hint="eastAsia"/>
          <w:kern w:val="2"/>
          <w:sz w:val="32"/>
          <w:szCs w:val="32"/>
          <w:lang w:val="en-US" w:eastAsia="zh-CN"/>
        </w:rPr>
        <w:t xml:space="preserve">五、附件</w:t>
      </w:r>
      <w:bookmarkEnd w:id="64"/>
      <w:bookmarkEnd w:id="65"/>
    </w:p>
    <w:p>
      <w:pPr>
        <w:pStyle w:val="Normal_6eed6b25-5020-41e4-bfd2-73dfd03e40da"/>
      </w:pPr>
      <w:r>
        <w:pict>
          <v:shape id="_x0000_i3011" type="#_x0000_t75" style="height:792.25pt;width:595.15pt" o:bordertopcolor="this" o:borderleftcolor="this" o:borderbottomcolor="this" o:borderrightcolor="this">
            <v:imagedata r:id="rId10" o:title=""/>
          </v:shape>
        </w:pict>
      </w:r>
    </w:p>
    <w:sectPr>
      <w:headerReference w:type="default" r:id="rId11"/>
      <w:pgSz w:w="11907" w:h="16839"/>
      <w:pgMar w:top="2" w:right="2" w:bottom="992" w:left="2" w:header="0" w:footer="720" w:gutter="0"/>
      <w:pgBorder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2"/>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30</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300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30</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6eed6b25-5020-41e4-bfd2-73dfd03e40da"/>
    </w:pPr>
    <w:r>
      <w:rPr>
        <w:sz w:val="2"/>
      </w:rPr>
      <w:t xml:space="preserve">1</w: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6eed6b25-5020-41e4-bfd2-73dfd03e40da"/>
    </w:pPr>
    <w:r>
      <w:rPr>
        <w:sz w:val="2"/>
      </w:rPr>
      <w:t xml:space="preserve">1</w: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6eed6b25-5020-41e4-bfd2-73dfd03e40da"/>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mM2N2VlN2Q5M2FhMDYwN2VkZjM0ZmM5Zjk0MDM1MzA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paragraph" w:styleId="Heading1">
    <w:name w:val="Heading 1"/>
    <w:basedOn w:val="Normal"/>
    <w:next w:val="Normal"/>
    <w:link w:val="标题1Char"/>
    <w:qFormat/>
    <w:pPr>
      <w:keepNext/>
      <w:keepLines/>
      <w:spacing w:before="340" w:beforeLines="0" w:beforeAutospacing="0" w:after="330" w:afterLines="0" w:afterAutospacing="0" w:line="576" w:lineRule="auto"/>
      <w:outlineLvl w:val="0"/>
    </w:pPr>
    <w:rPr>
      <w:b/>
      <w:kern w:val="44"/>
      <w:sz w:val="44"/>
    </w:rPr>
  </w:style>
  <w:style w:type="paragraph" w:styleId="Heading2">
    <w:name w:val="Heading 2"/>
    <w:basedOn w:val="Normal"/>
    <w:next w:val="Normal"/>
    <w:link w:val="标题2Char"/>
    <w:unhideWhenUsed/>
    <w:qFormat/>
    <w:pPr>
      <w:keepNext/>
      <w:keepLines/>
      <w:spacing w:before="260" w:beforeLines="0" w:beforeAutospacing="0" w:after="260" w:afterLines="0" w:afterAutospacing="0" w:line="413" w:lineRule="auto"/>
      <w:outlineLvl w:val="1"/>
    </w:pPr>
    <w:rPr>
      <w:rFonts w:ascii="Arial" w:eastAsia="黑体" w:hAnsi="Arial"/>
      <w:b/>
      <w:sz w:val="32"/>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b/>
      <w:sz w:val="32"/>
    </w:rPr>
  </w:style>
  <w:style w:type="character" w:default="1" w:styleId="DefaultParagraphFont">
    <w:name w:val="Default Paragraph Font"/>
    <w:semiHidden/>
    <w:qFormat/>
    <w:rPr/>
  </w:style>
  <w:style w:type="table" w:default="1" w:styleId="NormalTable">
    <w:name w:val="Normal Table"/>
    <w:semiHidden/>
    <w:qFormat/>
    <w:rPr/>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qFormat/>
    <w:rPr/>
  </w:style>
  <w:style w:type="paragraph" w:styleId="TOC2">
    <w:name w:val="TOC 2"/>
    <w:basedOn w:val="Normal"/>
    <w:next w:val="Normal"/>
    <w:qFormat/>
    <w:pPr>
      <w:ind w:left="420" w:leftChars="200"/>
    </w:pPr>
    <w:rPr/>
  </w:style>
  <w:style w:type="paragraph" w:styleId="Normal(Web)">
    <w:name w:val="Normal (Web)"/>
    <w:basedOn w:val="Normal"/>
    <w:qFormat/>
    <w:pPr>
      <w:spacing w:before="0" w:beforeAutospacing="1" w:after="0" w:afterAutospacing="1"/>
      <w:ind w:left="0" w:right="0"/>
      <w:jc w:val="left"/>
    </w:pPr>
    <w:rPr>
      <w:kern w:val="0"/>
      <w:sz w:val="24"/>
      <w:lang w:val="en-US" w:eastAsia="zh-CN"/>
    </w:rPr>
  </w:style>
  <w:style w:type="character" w:styleId="Strong">
    <w:name w:val="Strong"/>
    <w:basedOn w:val="DefaultParagraphFont"/>
    <w:qFormat/>
    <w:rPr>
      <w:b/>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character" w:customStyle="1" w:styleId="标题1Char">
    <w:name w:val="标题 1 Char"/>
    <w:link w:val="Heading1"/>
    <w:qFormat/>
    <w:rPr>
      <w:b/>
      <w:kern w:val="44"/>
      <w:sz w:val="44"/>
    </w:rPr>
  </w:style>
  <w:style w:type="character" w:customStyle="1" w:styleId="标题2Char">
    <w:name w:val="标题 2 Char"/>
    <w:link w:val="Heading2"/>
    <w:qFormat/>
    <w:rPr>
      <w:rFonts w:ascii="Arial" w:eastAsia="黑体" w:hAnsi="Arial"/>
      <w:b/>
      <w:sz w:val="32"/>
    </w:rPr>
  </w:style>
  <w:style w:type="paragraph" w:styleId="Normal_6eed6b25-5020-41e4-bfd2-73dfd03e40da">
    <w:name w:val="Normal_6eed6b25-5020-41e4-bfd2-73dfd03e40da"/>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3.png" /><Relationship Id="rId11" Type="http://schemas.openxmlformats.org/officeDocument/2006/relationships/header" Target="header3.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image" Target="media/image1.png" /><Relationship Id="rId8" Type="http://schemas.openxmlformats.org/officeDocument/2006/relationships/header" Target="header2.xml" /><Relationship Id="rId9" Type="http://schemas.openxmlformats.org/officeDocument/2006/relationships/image" Target="media/image2.png" /></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2023-08-09T09:32:00Z</dcterms:created>
  <dc:creator>审计风控部LJ</dc:creator>
  <cp:lastModifiedBy>审核</cp:lastModifiedBy>
  <dcterms:modified xsi:type="dcterms:W3CDTF">2024-08-28T09:36:49Z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42</Pages>
  <Words>7466</Words>
  <Characters>21640</Characters>
  <Lines>1</Lines>
  <Paragraphs>1</Paragraphs>
  <TotalTime>0</TotalTime>
  <ScaleCrop>false</ScaleCrop>
  <LinksUpToDate>false</LinksUpToDate>
  <CharactersWithSpaces>21860</CharactersWithSpaces>
  <Application>WPS Office_12.1.0.17827_F1E327BC-269C-435d-A152-05C5408002CA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E1D037E944054E51BF1EA0CADCD049D0_13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36</Pages>
  <Words>7466</Words>
  <Characters>21640</Characters>
  <Application>WPS Office_12.1.0.17827_F1E327BC-269C-435d-A152-05C5408002CA</Application>
  <DocSecurity>0</DocSecurity>
  <Lines>1</Lines>
  <Paragraphs>1</Paragraphs>
  <CharactersWithSpaces>21860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审计风控部LJ</dc:creator>
  <cp:lastModifiedBy>审核</cp:lastModifiedBy>
  <cp:revision>1</cp:revision>
  <dcterms:created xsi:type="dcterms:W3CDTF">2023-08-09T09:32:00Z</dcterms:created>
  <dcterms:modified xsi:type="dcterms:W3CDTF">2024-08-28T09:36:49Z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2052-12.1.0.17827</vt:lpwstr>
  </property>
  <property fmtid="{D5CDD505-2E9C-101B-9397-08002B2CF9AE}" pid="3" name="ICV">
    <vt:lpwstr>E1D037E944054E51BF1EA0CADCD049D0_13</vt:lpwstr>
  </property>
</Properties>
</file>