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lang w:val="en-US" w:eastAsia="zh-CN"/>
        </w:rPr>
      </w:pPr>
      <w:r>
        <w:rPr>
          <w:rFonts w:hint="eastAsia" w:ascii="方正小标宋简体" w:hAnsi="方正小标宋简体" w:eastAsia="方正小标宋简体" w:cs="方正小标宋简体"/>
          <w:bCs/>
          <w:spacing w:val="15"/>
          <w:sz w:val="44"/>
          <w:szCs w:val="44"/>
          <w:highlight w:val="none"/>
          <w:lang w:eastAsia="zh-CN"/>
        </w:rPr>
        <w:t>衢州市</w:t>
      </w:r>
      <w:r>
        <w:rPr>
          <w:rFonts w:hint="eastAsia" w:ascii="方正小标宋简体" w:hAnsi="方正小标宋简体" w:eastAsia="方正小标宋简体" w:cs="方正小标宋简体"/>
          <w:bCs/>
          <w:spacing w:val="15"/>
          <w:sz w:val="44"/>
          <w:szCs w:val="44"/>
          <w:highlight w:val="none"/>
          <w:lang w:val="en-US" w:eastAsia="zh-CN"/>
        </w:rPr>
        <w:t>财政国库支付中心</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t>2024</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8"/>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2024年衢州市财政国库支付中心</w:t>
      </w:r>
      <w:r>
        <w:rPr>
          <w:rStyle w:val="8"/>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（九）关于衢州市财政国库支付中心</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衢州市财政国库支付中心预算表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（一）2024年市级单位收支预算总表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（二）2024年市级单位收入预算总表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（三）2024年市级单位支出预算总表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（四）2024年市级单位财政拨款收支预算总表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（五）2024年市级单位一般公共预算支出表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（六）2024年市级单位一般公共预算基本支出表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（七）2024年市级单位一般公共预算“三公”经费支出表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（八）2024年市级单位政府性基金预算支出表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（九）2024年市级单位国有资本经营预算支出表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（十）2024年市级单位项目支出预算表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（十一）2024年市级单位项目支出绩效表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单位</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pacing w:before="62" w:beforeLines="20" w:line="500" w:lineRule="exact"/>
        <w:ind w:firstLine="640" w:firstLineChars="200"/>
        <w:rPr>
          <w:rFonts w:hint="eastAsia" w:ascii="仿宋" w:hAnsi="仿宋" w:eastAsia="仿宋" w:cs="仿宋_GB2312"/>
          <w:sz w:val="32"/>
          <w:szCs w:val="32"/>
        </w:rPr>
      </w:pPr>
      <w:r>
        <w:rPr>
          <w:rFonts w:hint="eastAsia" w:ascii="仿宋_GB2312" w:hAnsi="Times New Roman" w:eastAsia="仿宋_GB2312" w:cs="Times New Roman"/>
          <w:bCs/>
          <w:sz w:val="32"/>
          <w:szCs w:val="32"/>
          <w:highlight w:val="none"/>
        </w:rPr>
        <w:t>1.</w:t>
      </w:r>
      <w:r>
        <w:rPr>
          <w:rFonts w:hint="eastAsia" w:ascii="仿宋" w:hAnsi="仿宋" w:eastAsia="仿宋" w:cs="仿宋_GB2312"/>
          <w:sz w:val="32"/>
          <w:szCs w:val="32"/>
        </w:rPr>
        <w:t>承担市级预算单位财政直接支付、其他支付的审核、支付、清算、对账等工作。</w:t>
      </w:r>
    </w:p>
    <w:p>
      <w:pPr>
        <w:spacing w:before="62" w:beforeLines="20" w:line="5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负责市级预算单位工资、奖金、津贴补贴、绩效工资的审核、发放工作。</w:t>
      </w:r>
    </w:p>
    <w:p>
      <w:pPr>
        <w:spacing w:before="62" w:beforeLines="20" w:line="5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负责市级预算单位国库授权支付业务的动态监控工作。</w:t>
      </w:r>
    </w:p>
    <w:p>
      <w:pPr>
        <w:spacing w:before="62" w:beforeLines="20" w:line="5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负责行政事业单位财务核算云服务平台的运维管理工作。</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完成</w:t>
      </w:r>
      <w:r>
        <w:rPr>
          <w:rFonts w:hint="eastAsia" w:ascii="仿宋" w:hAnsi="仿宋" w:eastAsia="仿宋" w:cs="仿宋_GB2312"/>
          <w:sz w:val="32"/>
          <w:szCs w:val="32"/>
          <w:lang w:eastAsia="zh-CN"/>
        </w:rPr>
        <w:t>衢州市财政国库支付中心</w:t>
      </w:r>
      <w:r>
        <w:rPr>
          <w:rFonts w:hint="eastAsia" w:ascii="仿宋" w:hAnsi="仿宋" w:eastAsia="仿宋" w:cs="仿宋_GB2312"/>
          <w:sz w:val="32"/>
          <w:szCs w:val="32"/>
        </w:rPr>
        <w:t>交办的其他任务。</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衢州市财政国库支付中心内设5个科，分别为综合科、受理科、动态监控科、</w:t>
      </w:r>
      <w:r>
        <w:rPr>
          <w:rFonts w:hint="eastAsia" w:ascii="仿宋_GB2312" w:eastAsia="仿宋_GB2312"/>
          <w:bCs/>
          <w:sz w:val="32"/>
          <w:szCs w:val="32"/>
          <w:highlight w:val="none"/>
          <w:lang w:val="en-US" w:eastAsia="zh-CN"/>
        </w:rPr>
        <w:t>支付科、</w:t>
      </w:r>
      <w:r>
        <w:rPr>
          <w:rFonts w:hint="eastAsia" w:ascii="仿宋_GB2312" w:eastAsia="仿宋_GB2312"/>
          <w:bCs/>
          <w:sz w:val="32"/>
          <w:szCs w:val="32"/>
          <w:highlight w:val="none"/>
        </w:rPr>
        <w:t>核算科。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8"/>
          <w:rFonts w:hint="eastAsia" w:ascii="黑体" w:eastAsia="黑体"/>
          <w:b w:val="0"/>
          <w:color w:val="000000"/>
          <w:sz w:val="32"/>
          <w:szCs w:val="32"/>
          <w:highlight w:val="none"/>
          <w:lang w:val="en-US" w:eastAsia="zh-CN"/>
        </w:rPr>
        <w:t xml:space="preserve">    </w:t>
      </w: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val="en-US" w:eastAsia="zh-CN"/>
        </w:rPr>
        <w:t>衢州市财政国库支付中心</w:t>
      </w:r>
      <w:r>
        <w:rPr>
          <w:rStyle w:val="8"/>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楷体_GB2312" w:hAnsi="楷体_GB2312" w:eastAsia="楷体_GB2312" w:cs="楷体_GB2312"/>
          <w:b w:val="0"/>
          <w:bCs w:val="0"/>
          <w:color w:val="000000"/>
          <w:sz w:val="32"/>
          <w:szCs w:val="32"/>
          <w:highlight w:val="none"/>
          <w:lang w:eastAsia="zh-CN"/>
        </w:rPr>
        <w:fldChar w:fldCharType="begin"/>
      </w:r>
      <w:r>
        <w:rPr>
          <w:rFonts w:hint="eastAsia" w:ascii="楷体_GB2312" w:hAnsi="楷体_GB2312" w:eastAsia="楷体_GB2312" w:cs="楷体_GB2312"/>
          <w:b w:val="0"/>
          <w:bCs w:val="0"/>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val="0"/>
          <w:color w:val="000000"/>
          <w:sz w:val="32"/>
          <w:szCs w:val="32"/>
          <w:highlight w:val="none"/>
          <w:lang w:eastAsia="zh-CN"/>
        </w:rPr>
        <w:fldChar w:fldCharType="separate"/>
      </w:r>
      <w:r>
        <w:rPr>
          <w:rFonts w:hint="eastAsia" w:ascii="楷体_GB2312" w:hAnsi="楷体_GB2312" w:eastAsia="楷体_GB2312" w:cs="楷体_GB2312"/>
          <w:b w:val="0"/>
          <w:bCs w:val="0"/>
          <w:color w:val="000000"/>
          <w:sz w:val="32"/>
          <w:szCs w:val="32"/>
          <w:highlight w:val="none"/>
          <w:lang w:eastAsia="zh-CN"/>
        </w:rPr>
        <w:t>衢州市财政国库支付中心</w:t>
      </w:r>
      <w:r>
        <w:rPr>
          <w:rFonts w:ascii="Times New Roman" w:hAnsi="Times New Roman" w:cs="Times New Roman"/>
        </w:rPr>
        <w:fldChar w:fldCharType="end"/>
      </w:r>
      <w:r>
        <w:rPr>
          <w:rFonts w:hint="eastAsia" w:ascii="楷体_GB2312" w:hAnsi="楷体_GB2312" w:eastAsia="楷体_GB2312" w:cs="楷体_GB2312"/>
          <w:b w:val="0"/>
          <w:bCs w:val="0"/>
          <w:color w:val="000000"/>
          <w:sz w:val="32"/>
          <w:szCs w:val="32"/>
          <w:highlight w:val="none"/>
          <w:lang w:val="en-US" w:eastAsia="zh-CN"/>
        </w:rPr>
        <w:t>2024</w:t>
      </w:r>
      <w:r>
        <w:rPr>
          <w:rFonts w:hint="eastAsia" w:ascii="楷体_GB2312" w:hAnsi="楷体_GB2312" w:eastAsia="楷体_GB2312" w:cs="楷体_GB2312"/>
          <w:b w:val="0"/>
          <w:bCs w:val="0"/>
          <w:color w:val="000000"/>
          <w:sz w:val="32"/>
          <w:szCs w:val="32"/>
          <w:highlight w:val="none"/>
        </w:rPr>
        <w:t>年</w:t>
      </w:r>
      <w:r>
        <w:rPr>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综合预算的原则，衢州市财政国库支付中心所有收入和支出均纳入部门（单位）预算管理。收入包括：一般公共预算拨款收入、上年结转；支出包括：一般公共服务支出、社会保障和就业支出、住房保障支出。</w:t>
      </w:r>
      <w:r>
        <w:rPr>
          <w:rFonts w:hint="eastAsia" w:ascii="仿宋_GB2312" w:hAnsi="Times New Roman" w:eastAsia="仿宋_GB2312" w:cs="Times New Roman"/>
          <w:color w:val="000000"/>
          <w:sz w:val="32"/>
          <w:szCs w:val="32"/>
          <w:highlight w:val="none"/>
          <w:lang w:eastAsia="zh-CN"/>
        </w:rPr>
        <w:fldChar w:fldCharType="begin"/>
      </w:r>
      <w:r>
        <w:rPr>
          <w:rFonts w:hint="eastAsia" w:ascii="仿宋_GB2312" w:hAnsi="Times New Roman" w:eastAsia="仿宋_GB2312" w:cs="Times New Roman"/>
          <w:color w:val="000000"/>
          <w:sz w:val="32"/>
          <w:szCs w:val="32"/>
          <w:highlight w:val="none"/>
          <w:lang w:eastAsia="zh-CN"/>
        </w:rPr>
        <w:instrText xml:space="preserve">MERGEFIELD ${page855778723.ds388518707_V_RPT_BAS_AGENCY_INFO_NAME}</w:instrText>
      </w:r>
      <w:r>
        <w:rPr>
          <w:rFonts w:hint="eastAsia" w:ascii="仿宋_GB2312" w:hAnsi="Times New Roman" w:eastAsia="仿宋_GB2312" w:cs="Times New Roman"/>
          <w:color w:val="000000"/>
          <w:sz w:val="32"/>
          <w:szCs w:val="32"/>
          <w:highlight w:val="none"/>
          <w:lang w:eastAsia="zh-CN"/>
        </w:rPr>
        <w:fldChar w:fldCharType="separate"/>
      </w:r>
      <w:r>
        <w:rPr>
          <w:rFonts w:hint="eastAsia" w:ascii="仿宋_GB2312" w:hAnsi="Times New Roman" w:eastAsia="仿宋_GB2312" w:cs="Times New Roman"/>
          <w:color w:val="000000"/>
          <w:sz w:val="32"/>
          <w:szCs w:val="32"/>
          <w:highlight w:val="none"/>
          <w:lang w:eastAsia="zh-CN"/>
        </w:rPr>
        <w:t>衢州市财政国库支付中心</w:t>
      </w:r>
      <w:r>
        <w:rPr>
          <w:rFonts w:ascii="Times New Roman" w:hAnsi="Times New Roman" w:cs="Times New Roman"/>
        </w:rPr>
        <w:fldChar w:fldCharType="end"/>
      </w:r>
      <w:r>
        <w:rPr>
          <w:rFonts w:hint="eastAsia" w:ascii="仿宋_GB2312" w:hAnsi="Times New Roman" w:eastAsia="仿宋_GB2312" w:cs="Times New Roman"/>
          <w:color w:val="000000"/>
          <w:sz w:val="32"/>
          <w:szCs w:val="32"/>
          <w:highlight w:val="none"/>
          <w:lang w:val="en-US" w:eastAsia="zh-CN"/>
        </w:rPr>
        <w:t>2024年收支总预算1133.</w:t>
      </w:r>
      <w:r>
        <w:rPr>
          <w:rFonts w:hint="eastAsia" w:ascii="仿宋_GB2312" w:eastAsia="仿宋_GB2312" w:cs="Times New Roman"/>
          <w:color w:val="000000"/>
          <w:sz w:val="32"/>
          <w:szCs w:val="32"/>
          <w:highlight w:val="none"/>
          <w:lang w:val="en-US" w:eastAsia="zh-CN"/>
        </w:rPr>
        <w:t>7</w:t>
      </w:r>
      <w:r>
        <w:rPr>
          <w:rFonts w:hint="eastAsia" w:ascii="仿宋_GB2312" w:hAnsi="Times New Roman" w:eastAsia="仿宋_GB2312" w:cs="Times New Roman"/>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衢州市财政国库支付中心</w:t>
      </w:r>
      <w:r>
        <w:rPr>
          <w:rFonts w:ascii="Times New Roman" w:hAnsi="Times New Roman" w:cs="Times New Roman"/>
        </w:rPr>
        <w:fldChar w:fldCharType="end"/>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衢州市财政国库支付中心</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年收入预算1133.</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auto"/>
          <w:sz w:val="32"/>
          <w:szCs w:val="32"/>
          <w:highlight w:val="none"/>
          <w:lang w:val="en-US" w:eastAsia="zh-CN"/>
        </w:rPr>
        <w:t>减</w:t>
      </w:r>
      <w:r>
        <w:rPr>
          <w:rFonts w:hint="eastAsia" w:ascii="仿宋_GB2312" w:hAnsi="仿宋_GB2312" w:eastAsia="仿宋_GB2312" w:cs="仿宋_GB2312"/>
          <w:color w:val="auto"/>
          <w:sz w:val="32"/>
          <w:szCs w:val="32"/>
          <w:highlight w:val="none"/>
          <w:lang w:eastAsia="zh-CN"/>
        </w:rPr>
        <w:t>少</w:t>
      </w:r>
      <w:r>
        <w:rPr>
          <w:rFonts w:hint="eastAsia" w:ascii="仿宋_GB2312" w:hAnsi="仿宋_GB2312" w:eastAsia="仿宋_GB2312" w:cs="仿宋_GB2312"/>
          <w:color w:val="auto"/>
          <w:sz w:val="32"/>
          <w:szCs w:val="32"/>
          <w:highlight w:val="none"/>
          <w:lang w:val="en-US" w:eastAsia="zh-CN"/>
        </w:rPr>
        <w:t>75.8万元，下</w:t>
      </w:r>
      <w:r>
        <w:rPr>
          <w:rFonts w:hint="eastAsia" w:ascii="仿宋_GB2312" w:hAnsi="仿宋_GB2312" w:eastAsia="仿宋_GB2312" w:cs="仿宋_GB2312"/>
          <w:color w:val="auto"/>
          <w:sz w:val="32"/>
          <w:highlight w:val="none"/>
        </w:rPr>
        <w:t>降</w:t>
      </w:r>
      <w:r>
        <w:rPr>
          <w:rFonts w:hint="eastAsia" w:ascii="仿宋_GB2312" w:hAnsi="仿宋_GB2312" w:eastAsia="仿宋_GB2312" w:cs="仿宋_GB2312"/>
          <w:color w:val="auto"/>
          <w:sz w:val="32"/>
          <w:highlight w:val="none"/>
          <w:lang w:val="en-US" w:eastAsia="zh-CN"/>
        </w:rPr>
        <w:t>5.5</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000000"/>
          <w:sz w:val="32"/>
          <w:szCs w:val="32"/>
          <w:highlight w:val="none"/>
          <w:lang w:val="en-US" w:eastAsia="zh-CN"/>
        </w:rPr>
        <w:t>主要原因是在职人员数量减少。</w:t>
      </w: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其中：一般公共预算拨款收入1012.7万元（上年结转0.00万元），占</w:t>
      </w:r>
      <w:r>
        <w:rPr>
          <w:rFonts w:hint="eastAsia" w:ascii="仿宋_GB2312" w:eastAsia="仿宋_GB2312"/>
          <w:color w:val="auto"/>
          <w:sz w:val="32"/>
          <w:szCs w:val="32"/>
          <w:highlight w:val="none"/>
          <w:lang w:eastAsia="zh-CN"/>
        </w:rPr>
        <w:t>89.3%</w:t>
      </w:r>
      <w:r>
        <w:rPr>
          <w:rFonts w:hint="eastAsia" w:ascii="仿宋_GB2312" w:eastAsia="仿宋_GB2312"/>
          <w:color w:val="000000"/>
          <w:sz w:val="32"/>
          <w:szCs w:val="32"/>
          <w:highlight w:val="none"/>
          <w:lang w:eastAsia="zh-CN"/>
        </w:rPr>
        <w:t>；其他收入12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lang w:eastAsia="zh-CN"/>
        </w:rPr>
        <w:t>万元，占</w:t>
      </w:r>
      <w:r>
        <w:rPr>
          <w:rFonts w:hint="eastAsia" w:ascii="仿宋_GB2312" w:eastAsia="仿宋_GB2312"/>
          <w:color w:val="auto"/>
          <w:sz w:val="32"/>
          <w:szCs w:val="32"/>
          <w:highlight w:val="none"/>
          <w:lang w:val="en-US" w:eastAsia="zh-CN"/>
        </w:rPr>
        <w:t>10.7</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关于衢州市财政国库支付中心202</w:t>
      </w:r>
      <w:r>
        <w:rPr>
          <w:rFonts w:hint="eastAsia" w:ascii="楷体_GB2312" w:hAnsi="楷体_GB2312" w:eastAsia="楷体_GB2312" w:cs="楷体_GB2312"/>
          <w:b w:val="0"/>
          <w:bCs/>
          <w:color w:val="000000"/>
          <w:sz w:val="32"/>
          <w:szCs w:val="32"/>
          <w:highlight w:val="none"/>
          <w:lang w:val="en-US" w:eastAsia="zh-CN"/>
        </w:rPr>
        <w:t>4</w:t>
      </w:r>
      <w:r>
        <w:rPr>
          <w:rFonts w:hint="eastAsia" w:ascii="楷体_GB2312" w:hAnsi="楷体_GB2312" w:eastAsia="楷体_GB2312" w:cs="楷体_GB2312"/>
          <w:b w:val="0"/>
          <w:bCs/>
          <w:color w:val="000000"/>
          <w:sz w:val="32"/>
          <w:szCs w:val="32"/>
          <w:highlight w:val="none"/>
          <w:lang w:eastAsia="zh-CN"/>
        </w:rPr>
        <w:t>年支出预算情况说明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衢州市财政国库支付中心202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年支出预算1133.</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万元，比上年执行数减少75.</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万元，下降5.</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%，主要原因是在职人员数量减少。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1.按支出功能分类，包括一般公共服务支出899.</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万元、社会保障和就业支出132.</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万元、卫生健康支出15.</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万元、住房保障支出92.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2.按支出用途分类，包括人员支出1001.5万元，占</w:t>
      </w:r>
      <w:r>
        <w:rPr>
          <w:rFonts w:hint="eastAsia" w:ascii="仿宋_GB2312" w:eastAsia="仿宋_GB2312"/>
          <w:color w:val="auto"/>
          <w:sz w:val="32"/>
          <w:szCs w:val="32"/>
          <w:highlight w:val="none"/>
        </w:rPr>
        <w:t>88.</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000000"/>
          <w:sz w:val="32"/>
          <w:szCs w:val="32"/>
          <w:highlight w:val="none"/>
        </w:rPr>
        <w:t>；日常公用支出87.9万元，占</w:t>
      </w:r>
      <w:r>
        <w:rPr>
          <w:rFonts w:hint="eastAsia" w:ascii="仿宋_GB2312" w:eastAsia="仿宋_GB2312"/>
          <w:color w:val="auto"/>
          <w:sz w:val="32"/>
          <w:szCs w:val="32"/>
          <w:highlight w:val="none"/>
          <w:lang w:val="en-US" w:eastAsia="zh-CN"/>
        </w:rPr>
        <w:t>7.8</w:t>
      </w:r>
      <w:r>
        <w:rPr>
          <w:rFonts w:hint="eastAsia" w:ascii="仿宋_GB2312" w:eastAsia="仿宋_GB2312"/>
          <w:color w:val="auto"/>
          <w:sz w:val="32"/>
          <w:szCs w:val="32"/>
          <w:highlight w:val="none"/>
        </w:rPr>
        <w:t>%</w:t>
      </w:r>
      <w:r>
        <w:rPr>
          <w:rFonts w:hint="eastAsia" w:ascii="仿宋_GB2312" w:eastAsia="仿宋_GB2312"/>
          <w:color w:val="000000"/>
          <w:sz w:val="32"/>
          <w:szCs w:val="32"/>
          <w:highlight w:val="none"/>
        </w:rPr>
        <w:t>；项目支出44.2万元，占</w:t>
      </w:r>
      <w:r>
        <w:rPr>
          <w:rFonts w:hint="eastAsia" w:ascii="仿宋_GB2312" w:eastAsia="仿宋_GB2312"/>
          <w:color w:val="auto"/>
          <w:sz w:val="32"/>
          <w:szCs w:val="32"/>
          <w:highlight w:val="none"/>
          <w:lang w:val="en-US" w:eastAsia="zh-CN"/>
        </w:rPr>
        <w:t>3.9</w:t>
      </w:r>
      <w:r>
        <w:rPr>
          <w:rFonts w:hint="eastAsia" w:ascii="仿宋_GB2312" w:eastAsia="仿宋_GB2312"/>
          <w:color w:val="auto"/>
          <w:sz w:val="32"/>
          <w:szCs w:val="32"/>
          <w:highlight w:val="none"/>
        </w:rPr>
        <w:t>%</w:t>
      </w:r>
      <w:r>
        <w:rPr>
          <w:rFonts w:hint="eastAsia" w:ascii="仿宋_GB2312" w:eastAsia="仿宋_GB2312"/>
          <w:color w:val="C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结转下年0万元。</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val="en-US" w:eastAsia="zh-CN"/>
        </w:rPr>
        <w:t>衢州市财政国库支付中心2024</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仿宋_GB2312" w:eastAsia="仿宋_GB2312"/>
          <w:color w:val="000000"/>
          <w:sz w:val="32"/>
          <w:szCs w:val="32"/>
          <w:highlight w:val="none"/>
          <w:lang w:eastAsia="zh-CN"/>
        </w:rPr>
        <w:t>衢州市财政国库支付中心202</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年财政拨款收支总预算1012.7万元。收入包括：一般公共预算1012.7万元；支出包括：一般公共服务支出799万元、社会保障和就业支出105.4万元、卫生健康支出15.</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lang w:eastAsia="zh-CN"/>
        </w:rPr>
        <w:t>万元、住房保障支出92.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万元。</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val="en-US" w:eastAsia="zh-CN"/>
        </w:rPr>
        <w:t>衢州市财政国库支付中心2024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衢州市财政国库支付中心 2024年一般公共预算当年拨款</w:t>
      </w:r>
      <w:r>
        <w:rPr>
          <w:rFonts w:hint="eastAsia" w:ascii="仿宋_GB2312" w:hAnsi="仿宋_GB2312" w:eastAsia="仿宋_GB2312" w:cs="仿宋_GB2312"/>
          <w:color w:val="000000"/>
          <w:sz w:val="32"/>
          <w:szCs w:val="32"/>
          <w:highlight w:val="none"/>
        </w:rPr>
        <w:t>1012.7</w:t>
      </w:r>
      <w:r>
        <w:rPr>
          <w:rFonts w:hint="eastAsia" w:ascii="仿宋_GB2312" w:hAnsi="仿宋_GB2312" w:eastAsia="仿宋_GB2312" w:cs="仿宋_GB2312"/>
          <w:color w:val="000000"/>
          <w:sz w:val="32"/>
          <w:szCs w:val="32"/>
          <w:highlight w:val="none"/>
          <w:lang w:val="en-US" w:eastAsia="zh-CN"/>
        </w:rPr>
        <w:t>万元，比上年执行数减少153.6万元，下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13.2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主要是2024年在职人数减少。</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一般公共服务（类）支出799万元，</w:t>
      </w:r>
      <w:r>
        <w:rPr>
          <w:rFonts w:hint="eastAsia" w:ascii="仿宋_GB2312" w:hAnsi="仿宋_GB2312" w:eastAsia="仿宋_GB2312" w:cs="仿宋_GB2312"/>
          <w:b w:val="0"/>
          <w:bCs/>
          <w:color w:val="auto"/>
          <w:sz w:val="32"/>
          <w:szCs w:val="32"/>
          <w:highlight w:val="none"/>
          <w:lang w:val="en-US" w:eastAsia="zh-CN"/>
        </w:rPr>
        <w:t>占78.9%；社会保障和就业（类）支出105.4万元，占9.6%；卫生健康（类）支出15.8万元，占1.6%；住房保障（类）支出92.5万元，占9.1%。</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321" w:firstLineChars="100"/>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（1）一般公共服务支出（类）财政事务（款）行政运行（项）799万元，主要用于在职人员支出、包干经费。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（2）社会保障和就业支出（类））行政事业单位养老支出（款）机关事业单位基本养老保险缴费支出（项）70.</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万元，主要用于机关事业单位基本养老保险缴费。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（3）社会保障和就业支出（类）行政事业单位养老支出（款）机关事业单位职业年金缴费支出（项）35.1万元，主要用于机关事业单位职业年金缴费。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）社会保障和就业支出（类）财政对其他社会保险基金的补助（款）其他财政对社会保险基金的补（项）15.</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万元，主要用于公务员医疗补助缴费。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）住房保障支出（类）住房改革支出（款）住房公积金（项）92.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万元，主要用于住房公积金。</w:t>
      </w:r>
      <w:r>
        <w:rPr>
          <w:rFonts w:hint="eastAsia" w:ascii="楷体_GB2312" w:hAnsi="楷体_GB2312" w:eastAsia="楷体_GB2312" w:cs="楷体_GB2312"/>
          <w:b w:val="0"/>
          <w:bCs/>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val="en-US" w:eastAsia="zh-CN"/>
        </w:rPr>
        <w:t>衢州市财政国库支付中心2024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衢州市财政国库支付中心2024</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rPr>
        <w:t>1012.7</w:t>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rPr>
        <w:t>981.1</w:t>
      </w:r>
      <w:r>
        <w:rPr>
          <w:rFonts w:hint="eastAsia" w:ascii="仿宋_GB2312" w:eastAsia="仿宋_GB2312" w:cs="Times New Roman"/>
          <w:b w:val="0"/>
          <w:color w:val="000000"/>
          <w:sz w:val="32"/>
          <w:szCs w:val="32"/>
          <w:highlight w:val="none"/>
          <w:lang w:val="en-US" w:eastAsia="zh-CN"/>
        </w:rPr>
        <w:t>万元，主要包括：基本工资、津贴补贴、奖金、机关事业单位基本养老保险缴费、职业年金缴费、职工基本医疗保险缴费、公务员医疗补助缴费、其他社会保障缴费、住房公积金、医疗费、其他工资福利支出、其他交通费用；</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rPr>
        <w:t>31.6</w:t>
      </w:r>
      <w:r>
        <w:rPr>
          <w:rFonts w:hint="eastAsia" w:ascii="仿宋_GB2312" w:eastAsia="仿宋_GB2312" w:cs="Times New Roman"/>
          <w:b w:val="0"/>
          <w:color w:val="000000"/>
          <w:sz w:val="32"/>
          <w:szCs w:val="32"/>
          <w:highlight w:val="none"/>
          <w:lang w:val="en-US" w:eastAsia="zh-CN"/>
        </w:rPr>
        <w:t>万元，主要包括：办公费、印刷费、邮电费、物业管理费、差旅费、维修（护）费、会议费、培训费、公务接待费、劳务费、工会经费、福利费、其他交通费用、其他商品和服务支出、办公设备购置。</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（七）关于衢州市财政国库支付中心</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衢州市财政国库支付中心</w:t>
      </w:r>
      <w:r>
        <w:rPr>
          <w:rFonts w:hint="eastAsia" w:ascii="仿宋_GB2312" w:hAnsi="仿宋_GB2312" w:eastAsia="仿宋_GB2312" w:cs="仿宋_GB2312"/>
          <w:color w:val="000000"/>
          <w:sz w:val="32"/>
          <w:szCs w:val="32"/>
          <w:highlight w:val="none"/>
          <w:lang w:val="en-US" w:eastAsia="zh-CN"/>
        </w:rPr>
        <w:t>2024年没有使用政府性基金预算拨款安排的支出，与上年持平。</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（八）关于衢州市财政国库支付中心</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国有资本经营预算支出情况说明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衢州市财政国库支付中心</w:t>
      </w:r>
      <w:r>
        <w:rPr>
          <w:rFonts w:hint="eastAsia" w:ascii="仿宋_GB2312" w:hAnsi="仿宋_GB2312" w:eastAsia="仿宋_GB2312" w:cs="仿宋_GB2312"/>
          <w:color w:val="000000"/>
          <w:sz w:val="32"/>
          <w:szCs w:val="32"/>
          <w:highlight w:val="none"/>
          <w:lang w:val="en-US" w:eastAsia="zh-CN"/>
        </w:rPr>
        <w:t>2024年没有使用国有资本经营预算拨款安排的支出，与上年持平。</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（九）关于衢州市财政国库支付中心</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auto"/>
          <w:sz w:val="32"/>
          <w:szCs w:val="32"/>
          <w:highlight w:val="none"/>
          <w:lang w:eastAsia="zh-CN"/>
        </w:rPr>
        <w:t>衢州市财政国库支付中心</w:t>
      </w:r>
      <w:r>
        <w:rPr>
          <w:rFonts w:hint="eastAsia" w:ascii="仿宋_GB2312" w:hAnsi="仿宋_GB2312" w:eastAsia="仿宋_GB2312"/>
          <w:color w:val="auto"/>
          <w:sz w:val="32"/>
          <w:highlight w:val="none"/>
          <w:lang w:val="en-US" w:eastAsia="zh-CN"/>
        </w:rPr>
        <w:t>2024</w:t>
      </w:r>
      <w:r>
        <w:rPr>
          <w:rFonts w:hint="eastAsia" w:ascii="仿宋_GB2312" w:hAnsi="仿宋_GB2312" w:eastAsia="仿宋_GB2312"/>
          <w:color w:val="auto"/>
          <w:sz w:val="32"/>
          <w:highlight w:val="none"/>
        </w:rPr>
        <w:t>年“三公”经费预算数为</w:t>
      </w:r>
      <w:r>
        <w:rPr>
          <w:rFonts w:hint="eastAsia" w:ascii="仿宋_GB2312" w:eastAsia="仿宋_GB2312"/>
          <w:color w:val="auto"/>
          <w:sz w:val="32"/>
          <w:szCs w:val="32"/>
          <w:highlight w:val="none"/>
          <w:lang w:val="en-US" w:eastAsia="zh-CN"/>
        </w:rPr>
        <w:t>0.3</w:t>
      </w:r>
      <w:r>
        <w:rPr>
          <w:rFonts w:hint="eastAsia" w:ascii="仿宋_GB2312" w:hAnsi="仿宋_GB2312" w:eastAsia="仿宋_GB2312"/>
          <w:color w:val="auto"/>
          <w:sz w:val="32"/>
          <w:highlight w:val="none"/>
        </w:rPr>
        <w:t>万元</w:t>
      </w:r>
      <w:r>
        <w:rPr>
          <w:rFonts w:hint="eastAsia" w:ascii="仿宋_GB2312" w:hAnsi="仿宋_GB2312" w:eastAsia="仿宋_GB2312"/>
          <w:color w:val="auto"/>
          <w:sz w:val="32"/>
          <w:highlight w:val="none"/>
          <w:lang w:eastAsia="zh-CN"/>
        </w:rPr>
        <w:t>，</w:t>
      </w:r>
      <w:r>
        <w:rPr>
          <w:rFonts w:hint="eastAsia" w:ascii="仿宋_GB2312" w:hAnsi="仿宋_GB2312" w:eastAsia="仿宋_GB2312" w:cs="Times New Roman"/>
          <w:color w:val="auto"/>
          <w:kern w:val="2"/>
          <w:sz w:val="32"/>
          <w:szCs w:val="20"/>
          <w:highlight w:val="none"/>
          <w:shd w:val="clear" w:color="auto" w:fill="FFFFFF"/>
          <w:lang w:val="en-US" w:eastAsia="zh-CN" w:bidi="ar"/>
        </w:rPr>
        <w:t>比上年预算数增加</w:t>
      </w:r>
      <w:r>
        <w:rPr>
          <w:rFonts w:hint="eastAsia" w:ascii="仿宋_GB2312" w:hAnsi="仿宋_GB2312" w:eastAsia="仿宋_GB2312" w:cs="Times New Roman"/>
          <w:color w:val="auto"/>
          <w:kern w:val="2"/>
          <w:sz w:val="32"/>
          <w:szCs w:val="20"/>
          <w:highlight w:val="none"/>
          <w:lang w:val="en-US" w:eastAsia="zh-CN" w:bidi="ar"/>
        </w:rPr>
        <w:t>（</w:t>
      </w:r>
      <w:r>
        <w:rPr>
          <w:rFonts w:hint="eastAsia" w:ascii="仿宋_GB2312" w:hAnsi="仿宋_GB2312" w:eastAsia="仿宋_GB2312" w:cs="Times New Roman"/>
          <w:color w:val="auto"/>
          <w:kern w:val="2"/>
          <w:sz w:val="32"/>
          <w:szCs w:val="20"/>
          <w:highlight w:val="none"/>
          <w:shd w:val="clear" w:color="auto" w:fill="FFFFFF"/>
          <w:lang w:val="en-US" w:eastAsia="zh-CN" w:bidi="ar"/>
        </w:rPr>
        <w:t>减少</w:t>
      </w:r>
      <w:r>
        <w:rPr>
          <w:rFonts w:hint="eastAsia" w:ascii="仿宋_GB2312" w:hAnsi="仿宋_GB2312" w:eastAsia="仿宋_GB2312" w:cs="Times New Roman"/>
          <w:color w:val="auto"/>
          <w:kern w:val="2"/>
          <w:sz w:val="32"/>
          <w:szCs w:val="20"/>
          <w:highlight w:val="none"/>
          <w:lang w:val="en-US" w:eastAsia="zh-CN" w:bidi="ar"/>
        </w:rPr>
        <w:t>）</w:t>
      </w:r>
      <w:r>
        <w:rPr>
          <w:rFonts w:hint="eastAsia" w:ascii="仿宋_GB2312" w:hAnsi="仿宋_GB2312" w:eastAsia="仿宋_GB2312" w:cs="Times New Roman"/>
          <w:color w:val="auto"/>
          <w:kern w:val="2"/>
          <w:sz w:val="32"/>
          <w:szCs w:val="20"/>
          <w:highlight w:val="none"/>
          <w:shd w:val="clear" w:color="auto" w:fill="FFFFFF"/>
          <w:lang w:val="en-US" w:eastAsia="zh-CN" w:bidi="ar"/>
        </w:rPr>
        <w:t>0.4万元，下降)57.1%，</w:t>
      </w:r>
      <w:r>
        <w:rPr>
          <w:rFonts w:hint="eastAsia" w:ascii="仿宋_GB2312" w:hAnsi="仿宋_GB2312" w:eastAsia="仿宋_GB2312"/>
          <w:color w:val="auto"/>
          <w:sz w:val="32"/>
          <w:highlight w:val="none"/>
          <w:lang w:eastAsia="zh-CN"/>
        </w:rPr>
        <w:t>具体如下：</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1</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0.4</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eastAsia="zh-CN"/>
        </w:rPr>
        <w:t>预算数减少</w:t>
      </w:r>
      <w:r>
        <w:rPr>
          <w:rFonts w:hint="eastAsia" w:ascii="仿宋_GB2312" w:hAnsi="仿宋_GB2312" w:eastAsia="仿宋_GB2312" w:cs="仿宋_GB2312"/>
          <w:sz w:val="32"/>
          <w:szCs w:val="32"/>
          <w:highlight w:val="none"/>
          <w:lang w:val="en-US" w:eastAsia="zh-CN"/>
        </w:rPr>
        <w:t>0.4万元，</w:t>
      </w:r>
      <w:r>
        <w:rPr>
          <w:rFonts w:hint="eastAsia" w:ascii="仿宋_GB2312" w:hAnsi="仿宋_GB2312" w:eastAsia="仿宋_GB2312" w:cs="仿宋_GB2312"/>
          <w:sz w:val="32"/>
          <w:szCs w:val="32"/>
          <w:highlight w:val="none"/>
        </w:rPr>
        <w:t>下降</w:t>
      </w:r>
      <w:r>
        <w:rPr>
          <w:rFonts w:hint="eastAsia" w:ascii="仿宋_GB2312" w:eastAsia="仿宋_GB2312"/>
          <w:color w:val="000000"/>
          <w:sz w:val="32"/>
          <w:szCs w:val="32"/>
          <w:highlight w:val="none"/>
          <w:lang w:val="en-US" w:eastAsia="zh-CN"/>
        </w:rPr>
        <w:t>57.1</w:t>
      </w:r>
      <w:r>
        <w:rPr>
          <w:rFonts w:hint="eastAsia" w:ascii="仿宋_GB2312" w:hAnsi="仿宋_GB2312" w:eastAsia="仿宋_GB2312" w:cs="仿宋_GB2312"/>
          <w:sz w:val="32"/>
          <w:szCs w:val="32"/>
          <w:highlight w:val="none"/>
        </w:rPr>
        <w:t>%。主要用于接待</w:t>
      </w:r>
      <w:r>
        <w:rPr>
          <w:rFonts w:hint="eastAsia" w:ascii="仿宋_GB2312" w:hAnsi="仿宋_GB2312" w:eastAsia="仿宋_GB2312" w:cs="仿宋_GB2312"/>
          <w:sz w:val="32"/>
          <w:szCs w:val="32"/>
          <w:highlight w:val="none"/>
          <w:lang w:eastAsia="zh-CN"/>
        </w:rPr>
        <w:t>业务交流</w:t>
      </w:r>
      <w:r>
        <w:rPr>
          <w:rFonts w:hint="eastAsia" w:ascii="仿宋_GB2312" w:hAnsi="仿宋_GB2312" w:eastAsia="仿宋_GB2312" w:cs="仿宋_GB2312"/>
          <w:sz w:val="32"/>
          <w:szCs w:val="32"/>
          <w:highlight w:val="none"/>
        </w:rPr>
        <w:t>等支出。</w:t>
      </w:r>
      <w:r>
        <w:rPr>
          <w:rFonts w:hint="eastAsia" w:ascii="仿宋_GB2312" w:hAnsi="仿宋_GB2312" w:eastAsia="仿宋_GB2312" w:cs="仿宋_GB2312"/>
          <w:b w:val="0"/>
          <w:bCs w:val="0"/>
          <w:sz w:val="32"/>
          <w:szCs w:val="32"/>
          <w:highlight w:val="none"/>
          <w:lang w:eastAsia="zh-CN"/>
        </w:rPr>
        <w:t>减少的主要原因是厉行节约过紧日子。</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2024年</w:t>
      </w:r>
      <w:r>
        <w:rPr>
          <w:rFonts w:hint="eastAsia" w:ascii="仿宋_GB2312" w:eastAsia="仿宋_GB2312"/>
          <w:color w:val="auto"/>
          <w:sz w:val="32"/>
          <w:szCs w:val="32"/>
          <w:highlight w:val="none"/>
          <w:lang w:eastAsia="zh-CN"/>
        </w:rPr>
        <w:t>衢州市财政国库支付中心机关运行经费财政拨款预算</w:t>
      </w:r>
      <w:r>
        <w:rPr>
          <w:rFonts w:hint="eastAsia" w:ascii="仿宋_GB2312" w:eastAsia="仿宋_GB2312"/>
          <w:color w:val="auto"/>
          <w:sz w:val="32"/>
          <w:szCs w:val="32"/>
          <w:highlight w:val="none"/>
        </w:rPr>
        <w:t>31.6</w:t>
      </w:r>
      <w:r>
        <w:rPr>
          <w:rFonts w:hint="eastAsia" w:ascii="仿宋_GB2312" w:eastAsia="仿宋_GB2312"/>
          <w:color w:val="auto"/>
          <w:sz w:val="32"/>
          <w:szCs w:val="32"/>
          <w:highlight w:val="none"/>
          <w:lang w:val="en-US" w:eastAsia="zh-CN"/>
        </w:rPr>
        <w:t>万元，比上年预算减少48.1</w:t>
      </w:r>
      <w:r>
        <w:rPr>
          <w:rFonts w:hint="eastAsia" w:ascii="仿宋_GB2312" w:eastAsia="仿宋_GB2312"/>
          <w:color w:val="auto"/>
          <w:sz w:val="32"/>
          <w:szCs w:val="32"/>
          <w:highlight w:val="none"/>
        </w:rPr>
        <w:t>万元</w:t>
      </w:r>
      <w:r>
        <w:rPr>
          <w:rFonts w:hint="eastAsia" w:ascii="仿宋_GB2312" w:hAnsi="仿宋_GB2312" w:eastAsia="仿宋_GB2312" w:cs="Times New Roman"/>
          <w:color w:val="auto"/>
          <w:kern w:val="2"/>
          <w:sz w:val="32"/>
          <w:szCs w:val="20"/>
          <w:highlight w:val="none"/>
          <w:shd w:val="clear" w:color="auto" w:fill="auto"/>
          <w:lang w:val="en-US" w:eastAsia="zh-CN" w:bidi="ar"/>
        </w:rPr>
        <w:t>，下降60.3%，主要是今年机关运行经费大部分科目使用其他资金</w:t>
      </w:r>
      <w:r>
        <w:rPr>
          <w:rFonts w:hint="eastAsia" w:ascii="仿宋_GB2312" w:eastAsia="仿宋_GB2312"/>
          <w:color w:val="auto"/>
          <w:sz w:val="32"/>
          <w:szCs w:val="32"/>
          <w:highlight w:val="none"/>
          <w:lang w:val="en-US" w:eastAsia="zh-CN"/>
        </w:rPr>
        <w:t>。</w:t>
      </w:r>
    </w:p>
    <w:p>
      <w:pPr>
        <w:pStyle w:val="17"/>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2024年</w:t>
      </w:r>
      <w:r>
        <w:rPr>
          <w:rFonts w:hint="eastAsia" w:ascii="仿宋_GB2312" w:eastAsia="仿宋_GB2312"/>
          <w:color w:val="000000"/>
          <w:sz w:val="32"/>
          <w:szCs w:val="32"/>
          <w:highlight w:val="none"/>
          <w:lang w:eastAsia="zh-CN"/>
        </w:rPr>
        <w:t>衢州市财政国库支付中心各单位政府采购预算总额</w:t>
      </w:r>
      <w:r>
        <w:rPr>
          <w:rFonts w:hint="eastAsia" w:ascii="仿宋_GB2312" w:eastAsia="仿宋_GB2312"/>
          <w:color w:val="000000"/>
          <w:sz w:val="32"/>
          <w:szCs w:val="32"/>
          <w:highlight w:val="none"/>
          <w:lang w:val="en-US" w:eastAsia="zh-CN"/>
        </w:rPr>
        <w:t>0万元。</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截至2023年12月31日，</w:t>
      </w:r>
      <w:r>
        <w:rPr>
          <w:rFonts w:hint="eastAsia" w:ascii="仿宋_GB2312" w:hAnsi="仿宋_GB2312" w:eastAsia="仿宋_GB2312" w:cs="仿宋_GB2312"/>
          <w:color w:val="auto"/>
          <w:spacing w:val="6"/>
          <w:sz w:val="32"/>
          <w:szCs w:val="32"/>
          <w:highlight w:val="none"/>
          <w:lang w:eastAsia="zh-CN"/>
        </w:rPr>
        <w:t>衢州市财政国库支付中心共有车辆</w:t>
      </w:r>
      <w:r>
        <w:rPr>
          <w:rFonts w:hint="eastAsia" w:ascii="仿宋_GB2312" w:hAnsi="仿宋_GB2312" w:eastAsia="仿宋_GB2312" w:cs="仿宋_GB2312"/>
          <w:color w:val="auto"/>
          <w:sz w:val="32"/>
          <w:szCs w:val="32"/>
          <w:highlight w:val="none"/>
          <w:lang w:val="en-US" w:eastAsia="zh-CN"/>
        </w:rPr>
        <w:t>0辆。</w:t>
      </w:r>
    </w:p>
    <w:p>
      <w:pPr>
        <w:pStyle w:val="17"/>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2024年衢州市财政国库支付中心其他运转类项目和特定目标类项目均实行绩效目标管理，共计2个一级项目，涉及当年</w:t>
      </w:r>
      <w:r>
        <w:rPr>
          <w:rFonts w:hint="default"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44.2</w:t>
      </w:r>
      <w:bookmarkStart w:id="0" w:name="_GoBack"/>
      <w:bookmarkEnd w:id="0"/>
      <w:r>
        <w:rPr>
          <w:rFonts w:hint="eastAsia" w:ascii="仿宋_GB2312" w:hAnsi="仿宋_GB2312" w:eastAsia="仿宋_GB2312" w:cs="仿宋_GB2312"/>
          <w:color w:val="auto"/>
          <w:sz w:val="32"/>
          <w:szCs w:val="32"/>
          <w:highlight w:val="none"/>
          <w:lang w:val="en-US" w:eastAsia="zh-CN"/>
        </w:rPr>
        <w:t>万元。同时，将按照相关制度规定开展绩效自评。一级项目绩效目标表，详见“市级部门项目支出绩效表”。</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1.财政拨款收入：本级财政部门当年拨付的财政预算资金，包括一般公共预算财政拨款、政府性基金预算和国有资本经营预算财政拨款。</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2.财政专户管理资金:教育收费作为本部门的事业收入，纳入财政专户管理的资金。</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3.事业收入：事业单位开展专业业务活动及辅助活动所取得的收入，不含财政专户管理资金收入。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6.上年结转：指以前年度尚未完成、结转到本年仍按原规定用途继续使用的资金。</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8.项目支出：是预算单位为完成其特定的行政工作任务或事业发展目标所发生的支出。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12.一般公共服务支出（类）财政事务（款）行政运行（项）：指局本级及下属实行公务员管理事业单位的基本支出。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13.一般公共服务支出（类）财政事务（款）一般行政管理事务（项）：指局本级未单独设置项级科目的其他项目支出。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14.一般公共服务支出（类）财政事务（款）其他财政事务支出（项）：指除上述项目以外的其他财政事务方面的支出。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15.社会保障和就业支出（类）行政事业单位养老支出（款）机关事业单位基本养老保险缴费支出（项）：指局本级和局属事业单位实施养老保险制度由单位缴纳的基本养老保险费支出。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16.社会保障和就业支出（类）行政事业单位养老支出（款）机关事业单位职业年金缴费支出（项）：指局本级和局属事业单位实施养老保险制度由单位实际缴纳的职业年金支出。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17.社会保障和就业支出（类）行政事业单位养老支出（款）其他行政事业单位养老支出（项）：指局本级和局属事业单位离休干部经费。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18.社会保障和就业支出（类）财政对其他社会保险基金的补助（款）其他财政对社会保险基金的补助（项）：指局本级和局属事业单位公务员医疗补助费用支出。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highlight w:val="none"/>
        </w:rPr>
      </w:pPr>
      <w:r>
        <w:rPr>
          <w:rFonts w:hint="eastAsia" w:ascii="仿宋_GB2312" w:hAnsi="仿宋_GB2312" w:eastAsia="仿宋_GB2312" w:cs="仿宋_GB2312"/>
          <w:color w:val="auto"/>
          <w:sz w:val="32"/>
          <w:szCs w:val="32"/>
          <w:highlight w:val="none"/>
          <w:lang w:val="en-US" w:eastAsia="zh-CN"/>
        </w:rPr>
        <w:t>19.住房保障支出（类）住房改革支出（款）住房公积金（项）：指局本级和局属事业单位按照国家政策规定为干部职工缴纳的住房公积金支出。</w:t>
      </w:r>
    </w:p>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GViMDkwNTU0OTU2MWJmNDQxNDBjNjRhMGNkMDIifQ=="/>
  </w:docVars>
  <w:rsids>
    <w:rsidRoot w:val="00000000"/>
    <w:rsid w:val="0432483D"/>
    <w:rsid w:val="05747BFA"/>
    <w:rsid w:val="0C014F6D"/>
    <w:rsid w:val="11641E21"/>
    <w:rsid w:val="125B4450"/>
    <w:rsid w:val="16EF5067"/>
    <w:rsid w:val="1EB89417"/>
    <w:rsid w:val="1ED74D17"/>
    <w:rsid w:val="245B3CCB"/>
    <w:rsid w:val="255258CA"/>
    <w:rsid w:val="27AF99D0"/>
    <w:rsid w:val="2A222295"/>
    <w:rsid w:val="30303F92"/>
    <w:rsid w:val="32FF21F7"/>
    <w:rsid w:val="365468AA"/>
    <w:rsid w:val="3787034C"/>
    <w:rsid w:val="3933172F"/>
    <w:rsid w:val="3E054CA0"/>
    <w:rsid w:val="3E663D4F"/>
    <w:rsid w:val="3F576225"/>
    <w:rsid w:val="3FBE56E0"/>
    <w:rsid w:val="41260B4E"/>
    <w:rsid w:val="43B40E65"/>
    <w:rsid w:val="4413460B"/>
    <w:rsid w:val="474E79D4"/>
    <w:rsid w:val="479F1816"/>
    <w:rsid w:val="4A0B1478"/>
    <w:rsid w:val="4AFA32A4"/>
    <w:rsid w:val="4CF247C8"/>
    <w:rsid w:val="54C31518"/>
    <w:rsid w:val="55CF6795"/>
    <w:rsid w:val="56432923"/>
    <w:rsid w:val="5BF9A05E"/>
    <w:rsid w:val="5CA47F6C"/>
    <w:rsid w:val="6E5FE9CF"/>
    <w:rsid w:val="753064B9"/>
    <w:rsid w:val="759C24D2"/>
    <w:rsid w:val="76442312"/>
    <w:rsid w:val="76DFF3BC"/>
    <w:rsid w:val="77FF0865"/>
    <w:rsid w:val="790A4ED5"/>
    <w:rsid w:val="79AD5421"/>
    <w:rsid w:val="7CFB18E8"/>
    <w:rsid w:val="7DBFC2EB"/>
    <w:rsid w:val="7EFFAD84"/>
    <w:rsid w:val="7FE3062C"/>
    <w:rsid w:val="9BF59437"/>
    <w:rsid w:val="A4EFBF90"/>
    <w:rsid w:val="BEFDF21B"/>
    <w:rsid w:val="F67558F4"/>
    <w:rsid w:val="F7F7419D"/>
    <w:rsid w:val="F7FDBE55"/>
    <w:rsid w:val="FFD65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autoRedefine/>
    <w:qFormat/>
    <w:uiPriority w:val="0"/>
    <w:rPr>
      <w:rFonts w:ascii="宋体" w:hAnsi="宋体" w:cs="Courier New"/>
      <w:sz w:val="32"/>
      <w:szCs w:val="32"/>
    </w:rPr>
  </w:style>
  <w:style w:type="character" w:styleId="8">
    <w:name w:val="Strong"/>
    <w:basedOn w:val="6"/>
    <w:autoRedefine/>
    <w:qFormat/>
    <w:uiPriority w:val="0"/>
    <w:rPr>
      <w:b/>
      <w:bCs/>
    </w:rPr>
  </w:style>
  <w:style w:type="character" w:styleId="9">
    <w:name w:val="page number"/>
    <w:basedOn w:val="6"/>
    <w:autoRedefine/>
    <w:qFormat/>
    <w:uiPriority w:val="0"/>
  </w:style>
  <w:style w:type="character" w:styleId="10">
    <w:name w:val="FollowedHyperlink"/>
    <w:basedOn w:val="6"/>
    <w:autoRedefine/>
    <w:qFormat/>
    <w:uiPriority w:val="0"/>
    <w:rPr>
      <w:color w:val="800080"/>
      <w:u w:val="none"/>
    </w:rPr>
  </w:style>
  <w:style w:type="character" w:styleId="11">
    <w:name w:val="HTML Definition"/>
    <w:basedOn w:val="6"/>
    <w:autoRedefine/>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none"/>
    </w:rPr>
  </w:style>
  <w:style w:type="character" w:styleId="14">
    <w:name w:val="HTML Code"/>
    <w:basedOn w:val="6"/>
    <w:autoRedefine/>
    <w:qFormat/>
    <w:uiPriority w:val="0"/>
    <w:rPr>
      <w:rFonts w:ascii="Courier New" w:hAnsi="Courier New"/>
      <w:sz w:val="20"/>
    </w:rPr>
  </w:style>
  <w:style w:type="character" w:styleId="15">
    <w:name w:val="HTML Cite"/>
    <w:basedOn w:val="6"/>
    <w:autoRedefine/>
    <w:qFormat/>
    <w:uiPriority w:val="0"/>
  </w:style>
  <w:style w:type="paragraph" w:customStyle="1" w:styleId="16">
    <w:name w:val="Char"/>
    <w:basedOn w:val="1"/>
    <w:link w:val="6"/>
    <w:autoRedefine/>
    <w:qFormat/>
    <w:uiPriority w:val="0"/>
  </w:style>
  <w:style w:type="paragraph" w:customStyle="1" w:styleId="17">
    <w:name w:val="p0"/>
    <w:basedOn w:val="1"/>
    <w:autoRedefine/>
    <w:qFormat/>
    <w:uiPriority w:val="0"/>
    <w:pPr>
      <w:widowControl/>
    </w:pPr>
    <w:rPr>
      <w:kern w:val="0"/>
      <w:szCs w:val="21"/>
    </w:rPr>
  </w:style>
  <w:style w:type="character" w:customStyle="1" w:styleId="18">
    <w:name w:val="item-middle"/>
    <w:basedOn w:val="6"/>
    <w:autoRedefine/>
    <w:qFormat/>
    <w:uiPriority w:val="0"/>
  </w:style>
  <w:style w:type="character" w:customStyle="1" w:styleId="19">
    <w:name w:val="image"/>
    <w:basedOn w:val="6"/>
    <w:autoRedefine/>
    <w:qFormat/>
    <w:uiPriority w:val="0"/>
  </w:style>
  <w:style w:type="character" w:customStyle="1" w:styleId="20">
    <w:name w:val="image2"/>
    <w:basedOn w:val="6"/>
    <w:autoRedefine/>
    <w:qFormat/>
    <w:uiPriority w:val="0"/>
  </w:style>
  <w:style w:type="character" w:customStyle="1" w:styleId="21">
    <w:name w:val="image3"/>
    <w:basedOn w:val="6"/>
    <w:autoRedefine/>
    <w:qFormat/>
    <w:uiPriority w:val="0"/>
  </w:style>
  <w:style w:type="character" w:customStyle="1" w:styleId="22">
    <w:name w:val="ui-state-hover21"/>
    <w:basedOn w:val="6"/>
    <w:autoRedefine/>
    <w:qFormat/>
    <w:uiPriority w:val="0"/>
  </w:style>
  <w:style w:type="character" w:customStyle="1" w:styleId="23">
    <w:name w:val="ui-state-active5"/>
    <w:basedOn w:val="6"/>
    <w:autoRedefine/>
    <w:qFormat/>
    <w:uiPriority w:val="0"/>
  </w:style>
  <w:style w:type="character" w:customStyle="1" w:styleId="24">
    <w:name w:val="ui-state-default12"/>
    <w:basedOn w:val="6"/>
    <w:autoRedefine/>
    <w:qFormat/>
    <w:uiPriority w:val="0"/>
  </w:style>
  <w:style w:type="character" w:customStyle="1" w:styleId="25">
    <w:name w:val="ui-state-default13"/>
    <w:basedOn w:val="6"/>
    <w:autoRedefine/>
    <w:qFormat/>
    <w:uiPriority w:val="0"/>
  </w:style>
  <w:style w:type="character" w:customStyle="1" w:styleId="26">
    <w:name w:val="clicked1"/>
    <w:basedOn w:val="6"/>
    <w:autoRedefine/>
    <w:qFormat/>
    <w:uiPriority w:val="0"/>
    <w:rPr>
      <w:color w:val="000000"/>
    </w:rPr>
  </w:style>
  <w:style w:type="character" w:customStyle="1" w:styleId="27">
    <w:name w:val="clicked2"/>
    <w:basedOn w:val="6"/>
    <w:autoRedefine/>
    <w:qFormat/>
    <w:uiPriority w:val="0"/>
  </w:style>
  <w:style w:type="character" w:customStyle="1" w:styleId="28">
    <w:name w:val="clicked3"/>
    <w:basedOn w:val="6"/>
    <w:autoRedefine/>
    <w:qFormat/>
    <w:uiPriority w:val="0"/>
  </w:style>
  <w:style w:type="character" w:customStyle="1" w:styleId="29">
    <w:name w:val="button-hover"/>
    <w:basedOn w:val="6"/>
    <w:autoRedefine/>
    <w:qFormat/>
    <w:uiPriority w:val="0"/>
  </w:style>
  <w:style w:type="character" w:customStyle="1" w:styleId="30">
    <w:name w:val="button-hover1"/>
    <w:basedOn w:val="6"/>
    <w:autoRedefine/>
    <w:qFormat/>
    <w:uiPriority w:val="0"/>
  </w:style>
  <w:style w:type="character" w:customStyle="1" w:styleId="31">
    <w:name w:val="group"/>
    <w:basedOn w:val="6"/>
    <w:autoRedefine/>
    <w:qFormat/>
    <w:uiPriority w:val="0"/>
  </w:style>
  <w:style w:type="character" w:customStyle="1" w:styleId="32">
    <w:name w:val="directchildrenspan"/>
    <w:basedOn w:val="6"/>
    <w:autoRedefine/>
    <w:qFormat/>
    <w:uiPriority w:val="0"/>
  </w:style>
  <w:style w:type="character" w:customStyle="1" w:styleId="33">
    <w:name w:val="imgspan"/>
    <w:basedOn w:val="6"/>
    <w:autoRedefine/>
    <w:qFormat/>
    <w:uiPriority w:val="0"/>
  </w:style>
  <w:style w:type="character" w:customStyle="1" w:styleId="34">
    <w:name w:val="ui-icon34"/>
    <w:basedOn w:val="6"/>
    <w:autoRedefine/>
    <w:qFormat/>
    <w:uiPriority w:val="0"/>
  </w:style>
  <w:style w:type="character" w:customStyle="1" w:styleId="35">
    <w:name w:val="newstitle"/>
    <w:basedOn w:val="6"/>
    <w:autoRedefine/>
    <w:qFormat/>
    <w:uiPriority w:val="0"/>
    <w:rPr>
      <w:b/>
      <w:color w:val="000000"/>
      <w:sz w:val="24"/>
      <w:szCs w:val="24"/>
    </w:rPr>
  </w:style>
  <w:style w:type="character" w:customStyle="1" w:styleId="36">
    <w:name w:val="ui-state-hover"/>
    <w:basedOn w:val="6"/>
    <w:autoRedefine/>
    <w:qFormat/>
    <w:uiPriority w:val="0"/>
  </w:style>
  <w:style w:type="character" w:customStyle="1" w:styleId="37">
    <w:name w:val="image1"/>
    <w:basedOn w:val="6"/>
    <w:autoRedefine/>
    <w:qFormat/>
    <w:uiPriority w:val="0"/>
  </w:style>
  <w:style w:type="character" w:customStyle="1" w:styleId="38">
    <w:name w:val="clicked"/>
    <w:basedOn w:val="6"/>
    <w:autoRedefine/>
    <w:qFormat/>
    <w:uiPriority w:val="0"/>
  </w:style>
  <w:style w:type="character" w:customStyle="1" w:styleId="39">
    <w:name w:val="ui-state-active"/>
    <w:basedOn w:val="6"/>
    <w:autoRedefine/>
    <w:qFormat/>
    <w:uiPriority w:val="0"/>
  </w:style>
  <w:style w:type="character" w:customStyle="1" w:styleId="40">
    <w:name w:val="ui-icon33"/>
    <w:basedOn w:val="6"/>
    <w:autoRedefine/>
    <w:qFormat/>
    <w:uiPriority w:val="0"/>
  </w:style>
  <w:style w:type="character" w:customStyle="1" w:styleId="41">
    <w:name w:val="ui-state-active6"/>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132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chengws</dc:creator>
  <cp:lastModifiedBy>admin</cp:lastModifiedBy>
  <cp:lastPrinted>2022-02-13T02:36:00Z</cp:lastPrinted>
  <dcterms:modified xsi:type="dcterms:W3CDTF">2024-04-02T09:18:22Z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B73A35E8A53D4468A6FAF0F1147F5FC9_12</vt:lpwstr>
  </property>
</Properties>
</file>