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highlight w:val="none"/>
        </w:rPr>
      </w:pPr>
    </w:p>
    <w:p>
      <w:pPr>
        <w:spacing w:line="560" w:lineRule="exact"/>
        <w:jc w:val="center"/>
        <w:rPr>
          <w:rFonts w:ascii="方正小标宋简体" w:hAnsi="方正小标宋简体" w:eastAsia="方正小标宋简体" w:cs="方正小标宋简体"/>
          <w:spacing w:val="15"/>
          <w:sz w:val="44"/>
          <w:szCs w:val="44"/>
          <w:highlight w:val="none"/>
        </w:rPr>
      </w:pPr>
    </w:p>
    <w:p>
      <w:pPr>
        <w:spacing w:line="560" w:lineRule="exact"/>
        <w:jc w:val="center"/>
        <w:rPr>
          <w:rFonts w:ascii="方正小标宋简体" w:hAnsi="方正小标宋简体" w:eastAsia="方正小标宋简体" w:cs="方正小标宋简体"/>
          <w:bCs/>
          <w:spacing w:val="15"/>
          <w:sz w:val="44"/>
          <w:szCs w:val="44"/>
          <w:highlight w:val="none"/>
        </w:rPr>
      </w:pPr>
    </w:p>
    <w:p>
      <w:pPr>
        <w:spacing w:line="560" w:lineRule="exact"/>
        <w:jc w:val="center"/>
        <w:rPr>
          <w:rFonts w:ascii="方正小标宋简体" w:hAnsi="方正小标宋简体" w:eastAsia="方正小标宋简体" w:cs="方正小标宋简体"/>
          <w:bCs/>
          <w:spacing w:val="15"/>
          <w:sz w:val="44"/>
          <w:szCs w:val="44"/>
          <w:highlight w:val="none"/>
        </w:rPr>
      </w:pPr>
    </w:p>
    <w:p>
      <w:pPr>
        <w:spacing w:line="560" w:lineRule="exact"/>
        <w:jc w:val="center"/>
        <w:rPr>
          <w:rFonts w:ascii="方正小标宋简体" w:hAnsi="方正小标宋简体" w:eastAsia="方正小标宋简体" w:cs="方正小标宋简体"/>
          <w:bCs/>
          <w:spacing w:val="15"/>
          <w:sz w:val="44"/>
          <w:szCs w:val="44"/>
          <w:highlight w:val="none"/>
        </w:rPr>
      </w:pPr>
    </w:p>
    <w:p>
      <w:pPr>
        <w:spacing w:line="560" w:lineRule="exact"/>
        <w:jc w:val="center"/>
        <w:rPr>
          <w:rFonts w:ascii="方正小标宋简体" w:hAnsi="方正小标宋简体" w:eastAsia="方正小标宋简体" w:cs="方正小标宋简体"/>
          <w:bCs/>
          <w:spacing w:val="15"/>
          <w:sz w:val="44"/>
          <w:szCs w:val="44"/>
          <w:highlight w:val="none"/>
        </w:rPr>
      </w:pPr>
    </w:p>
    <w:p>
      <w:pPr>
        <w:spacing w:line="560" w:lineRule="exact"/>
        <w:jc w:val="center"/>
        <w:rPr>
          <w:rFonts w:ascii="方正小标宋简体" w:hAnsi="方正小标宋简体" w:eastAsia="方正小标宋简体" w:cs="方正小标宋简体"/>
          <w:bCs/>
          <w:spacing w:val="15"/>
          <w:sz w:val="44"/>
          <w:szCs w:val="44"/>
          <w:highlight w:val="none"/>
        </w:rPr>
      </w:pPr>
    </w:p>
    <w:p>
      <w:pPr>
        <w:spacing w:line="560" w:lineRule="exact"/>
        <w:jc w:val="center"/>
        <w:rPr>
          <w:rFonts w:ascii="方正小标宋简体" w:hAnsi="方正小标宋简体" w:eastAsia="方正小标宋简体" w:cs="方正小标宋简体"/>
          <w:bCs/>
          <w:spacing w:val="15"/>
          <w:sz w:val="44"/>
          <w:szCs w:val="44"/>
          <w:highlight w:val="none"/>
        </w:rPr>
      </w:pPr>
    </w:p>
    <w:p>
      <w:pPr>
        <w:spacing w:line="560" w:lineRule="exact"/>
        <w:jc w:val="center"/>
        <w:rPr>
          <w:rFonts w:ascii="方正小标宋简体" w:hAnsi="方正小标宋简体" w:eastAsia="方正小标宋简体" w:cs="方正小标宋简体"/>
          <w:bCs/>
          <w:spacing w:val="15"/>
          <w:sz w:val="44"/>
          <w:szCs w:val="44"/>
          <w:highlight w:val="none"/>
        </w:rPr>
      </w:pPr>
    </w:p>
    <w:p>
      <w:pPr>
        <w:spacing w:line="560" w:lineRule="exact"/>
        <w:jc w:val="center"/>
        <w:rPr>
          <w:rFonts w:ascii="方正小标宋简体" w:hAnsi="方正小标宋简体" w:eastAsia="方正小标宋简体" w:cs="方正小标宋简体"/>
          <w:bCs/>
          <w:spacing w:val="15"/>
          <w:sz w:val="44"/>
          <w:szCs w:val="44"/>
          <w:highlight w:val="none"/>
        </w:rPr>
      </w:pPr>
      <w:r>
        <w:rPr>
          <w:rFonts w:ascii="方正小标宋简体" w:hAnsi="方正小标宋简体" w:eastAsia="方正小标宋简体" w:cs="方正小标宋简体"/>
          <w:bCs/>
          <w:spacing w:val="15"/>
          <w:sz w:val="44"/>
          <w:szCs w:val="44"/>
          <w:highlight w:val="none"/>
        </w:rPr>
        <w:t>衢州市财政国库支付中心</w:t>
      </w:r>
      <w:r>
        <w:rPr>
          <w:rFonts w:hint="eastAsia" w:ascii="方正小标宋简体" w:hAnsi="方正小标宋简体" w:eastAsia="方正小标宋简体" w:cs="方正小标宋简体"/>
          <w:bCs/>
          <w:spacing w:val="15"/>
          <w:sz w:val="44"/>
          <w:szCs w:val="44"/>
          <w:highlight w:val="none"/>
          <w:lang w:eastAsia="zh-CN"/>
        </w:rPr>
        <w:t>2025年</w:t>
      </w:r>
      <w:r>
        <w:rPr>
          <w:rFonts w:hint="eastAsia" w:ascii="方正小标宋简体" w:hAnsi="方正小标宋简体" w:eastAsia="方正小标宋简体" w:cs="方正小标宋简体"/>
          <w:bCs/>
          <w:spacing w:val="15"/>
          <w:sz w:val="44"/>
          <w:szCs w:val="44"/>
          <w:highlight w:val="none"/>
        </w:rPr>
        <w:t>单位预算</w:t>
      </w:r>
    </w:p>
    <w:p>
      <w:pPr>
        <w:spacing w:line="560" w:lineRule="exact"/>
        <w:ind w:firstLine="590" w:firstLineChars="196"/>
        <w:rPr>
          <w:rStyle w:val="9"/>
          <w:color w:val="000000"/>
          <w:sz w:val="30"/>
          <w:szCs w:val="30"/>
          <w:highlight w:val="none"/>
        </w:rPr>
      </w:pPr>
    </w:p>
    <w:p>
      <w:pPr>
        <w:spacing w:line="520" w:lineRule="exact"/>
        <w:ind w:firstLine="627" w:firstLineChars="196"/>
        <w:jc w:val="center"/>
        <w:rPr>
          <w:rStyle w:val="9"/>
          <w:rFonts w:ascii="黑体" w:eastAsia="黑体"/>
          <w:b w:val="0"/>
          <w:color w:val="000000"/>
          <w:sz w:val="32"/>
          <w:szCs w:val="32"/>
          <w:highlight w:val="none"/>
        </w:rPr>
      </w:pPr>
    </w:p>
    <w:p>
      <w:pPr>
        <w:spacing w:line="520" w:lineRule="exact"/>
        <w:ind w:firstLine="627" w:firstLineChars="196"/>
        <w:jc w:val="center"/>
        <w:rPr>
          <w:rStyle w:val="9"/>
          <w:rFonts w:ascii="黑体" w:eastAsia="黑体"/>
          <w:b w:val="0"/>
          <w:color w:val="000000"/>
          <w:sz w:val="32"/>
          <w:szCs w:val="32"/>
          <w:highlight w:val="none"/>
        </w:rPr>
      </w:pPr>
    </w:p>
    <w:p>
      <w:pPr>
        <w:spacing w:line="520" w:lineRule="exact"/>
        <w:ind w:firstLine="627" w:firstLineChars="196"/>
        <w:jc w:val="center"/>
        <w:rPr>
          <w:rStyle w:val="9"/>
          <w:rFonts w:ascii="黑体" w:eastAsia="黑体"/>
          <w:b w:val="0"/>
          <w:color w:val="000000"/>
          <w:sz w:val="32"/>
          <w:szCs w:val="32"/>
          <w:highlight w:val="none"/>
        </w:rPr>
      </w:pPr>
    </w:p>
    <w:p>
      <w:pPr>
        <w:spacing w:line="520" w:lineRule="exact"/>
        <w:ind w:firstLine="627" w:firstLineChars="196"/>
        <w:jc w:val="center"/>
        <w:rPr>
          <w:rStyle w:val="9"/>
          <w:rFonts w:ascii="黑体" w:eastAsia="黑体"/>
          <w:b w:val="0"/>
          <w:color w:val="000000"/>
          <w:sz w:val="32"/>
          <w:szCs w:val="32"/>
          <w:highlight w:val="none"/>
        </w:rPr>
      </w:pPr>
    </w:p>
    <w:p>
      <w:pPr>
        <w:spacing w:line="520" w:lineRule="exact"/>
        <w:ind w:firstLine="627" w:firstLineChars="196"/>
        <w:jc w:val="center"/>
        <w:rPr>
          <w:rStyle w:val="9"/>
          <w:rFonts w:ascii="黑体" w:eastAsia="黑体"/>
          <w:b w:val="0"/>
          <w:color w:val="000000"/>
          <w:sz w:val="32"/>
          <w:szCs w:val="32"/>
          <w:highlight w:val="none"/>
        </w:rPr>
      </w:pPr>
    </w:p>
    <w:p>
      <w:pPr>
        <w:spacing w:line="520" w:lineRule="exact"/>
        <w:ind w:firstLine="627" w:firstLineChars="196"/>
        <w:jc w:val="center"/>
        <w:rPr>
          <w:rStyle w:val="9"/>
          <w:rFonts w:ascii="黑体" w:eastAsia="黑体"/>
          <w:b w:val="0"/>
          <w:color w:val="000000"/>
          <w:sz w:val="32"/>
          <w:szCs w:val="32"/>
          <w:highlight w:val="none"/>
        </w:rPr>
      </w:pPr>
    </w:p>
    <w:p>
      <w:pPr>
        <w:spacing w:line="520" w:lineRule="exact"/>
        <w:ind w:firstLine="627" w:firstLineChars="196"/>
        <w:jc w:val="center"/>
        <w:rPr>
          <w:rStyle w:val="9"/>
          <w:rFonts w:ascii="黑体" w:eastAsia="黑体"/>
          <w:b w:val="0"/>
          <w:color w:val="000000"/>
          <w:sz w:val="32"/>
          <w:szCs w:val="32"/>
          <w:highlight w:val="none"/>
        </w:rPr>
      </w:pPr>
    </w:p>
    <w:p>
      <w:pPr>
        <w:spacing w:line="520" w:lineRule="exact"/>
        <w:ind w:firstLine="627" w:firstLineChars="196"/>
        <w:jc w:val="center"/>
        <w:rPr>
          <w:rStyle w:val="9"/>
          <w:rFonts w:ascii="黑体" w:eastAsia="黑体"/>
          <w:b w:val="0"/>
          <w:color w:val="000000"/>
          <w:sz w:val="32"/>
          <w:szCs w:val="32"/>
          <w:highlight w:val="none"/>
        </w:rPr>
      </w:pPr>
    </w:p>
    <w:p>
      <w:pPr>
        <w:spacing w:line="520" w:lineRule="exact"/>
        <w:ind w:firstLine="627" w:firstLineChars="196"/>
        <w:jc w:val="center"/>
        <w:rPr>
          <w:rStyle w:val="9"/>
          <w:rFonts w:ascii="黑体" w:eastAsia="黑体"/>
          <w:b w:val="0"/>
          <w:color w:val="000000"/>
          <w:sz w:val="32"/>
          <w:szCs w:val="32"/>
          <w:highlight w:val="none"/>
        </w:rPr>
      </w:pPr>
    </w:p>
    <w:p>
      <w:pPr>
        <w:spacing w:line="520" w:lineRule="exact"/>
        <w:ind w:firstLine="627" w:firstLineChars="196"/>
        <w:jc w:val="center"/>
        <w:rPr>
          <w:rStyle w:val="9"/>
          <w:rFonts w:ascii="黑体" w:eastAsia="黑体"/>
          <w:b w:val="0"/>
          <w:color w:val="000000"/>
          <w:sz w:val="32"/>
          <w:szCs w:val="32"/>
          <w:highlight w:val="none"/>
        </w:rPr>
      </w:pPr>
    </w:p>
    <w:p>
      <w:pPr>
        <w:spacing w:line="520" w:lineRule="exact"/>
        <w:ind w:firstLine="627" w:firstLineChars="196"/>
        <w:jc w:val="center"/>
        <w:rPr>
          <w:rStyle w:val="9"/>
          <w:rFonts w:ascii="黑体" w:eastAsia="黑体"/>
          <w:b w:val="0"/>
          <w:color w:val="000000"/>
          <w:sz w:val="32"/>
          <w:szCs w:val="32"/>
          <w:highlight w:val="none"/>
        </w:rPr>
      </w:pPr>
    </w:p>
    <w:p>
      <w:pPr>
        <w:spacing w:line="520" w:lineRule="exact"/>
        <w:ind w:firstLine="627" w:firstLineChars="196"/>
        <w:jc w:val="center"/>
        <w:rPr>
          <w:rStyle w:val="9"/>
          <w:rFonts w:ascii="黑体" w:eastAsia="黑体"/>
          <w:b w:val="0"/>
          <w:color w:val="000000"/>
          <w:sz w:val="32"/>
          <w:szCs w:val="32"/>
          <w:highlight w:val="none"/>
        </w:rPr>
      </w:pPr>
    </w:p>
    <w:p>
      <w:pPr>
        <w:spacing w:line="520" w:lineRule="exact"/>
        <w:ind w:firstLine="627" w:firstLineChars="196"/>
        <w:jc w:val="center"/>
        <w:rPr>
          <w:rStyle w:val="9"/>
          <w:rFonts w:ascii="黑体" w:eastAsia="黑体"/>
          <w:b w:val="0"/>
          <w:color w:val="000000"/>
          <w:sz w:val="32"/>
          <w:szCs w:val="32"/>
          <w:highlight w:val="none"/>
        </w:rPr>
      </w:pPr>
    </w:p>
    <w:p>
      <w:pPr>
        <w:spacing w:line="520" w:lineRule="exact"/>
        <w:rPr>
          <w:rStyle w:val="9"/>
          <w:rFonts w:ascii="黑体" w:eastAsia="黑体"/>
          <w:b w:val="0"/>
          <w:color w:val="000000"/>
          <w:sz w:val="32"/>
          <w:szCs w:val="32"/>
          <w:highlight w:val="none"/>
        </w:rPr>
      </w:pPr>
    </w:p>
    <w:p>
      <w:pPr>
        <w:spacing w:line="520" w:lineRule="exact"/>
        <w:ind w:firstLine="627" w:firstLineChars="196"/>
        <w:jc w:val="center"/>
        <w:rPr>
          <w:rStyle w:val="9"/>
          <w:rFonts w:ascii="黑体" w:eastAsia="黑体"/>
          <w:b w:val="0"/>
          <w:color w:val="000000"/>
          <w:sz w:val="32"/>
          <w:szCs w:val="32"/>
          <w:highlight w:val="none"/>
        </w:rPr>
      </w:pPr>
      <w:r>
        <w:rPr>
          <w:rStyle w:val="9"/>
          <w:rFonts w:hint="eastAsia" w:ascii="黑体" w:eastAsia="黑体"/>
          <w:b w:val="0"/>
          <w:color w:val="000000"/>
          <w:sz w:val="32"/>
          <w:szCs w:val="32"/>
          <w:highlight w:val="none"/>
        </w:rPr>
        <w:t>目录</w:t>
      </w:r>
    </w:p>
    <w:p>
      <w:pPr>
        <w:spacing w:line="520" w:lineRule="exact"/>
        <w:rPr>
          <w:rFonts w:eastAsia="黑体"/>
          <w:sz w:val="32"/>
          <w:highlight w:val="none"/>
        </w:rPr>
      </w:pPr>
      <w:r>
        <w:rPr>
          <w:rFonts w:hint="eastAsia" w:ascii="黑体" w:eastAsia="黑体"/>
          <w:color w:val="000000"/>
          <w:sz w:val="32"/>
          <w:highlight w:val="none"/>
        </w:rPr>
        <w:t>一、单位</w:t>
      </w:r>
      <w:r>
        <w:rPr>
          <w:rStyle w:val="9"/>
          <w:rFonts w:hint="eastAsia" w:ascii="黑体" w:eastAsia="黑体"/>
          <w:b w:val="0"/>
          <w:color w:val="000000"/>
          <w:sz w:val="32"/>
          <w:szCs w:val="32"/>
          <w:highlight w:val="none"/>
        </w:rPr>
        <w:t>概况</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（一）主要职能</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（二）单位机构设置情况</w:t>
      </w:r>
    </w:p>
    <w:p>
      <w:pPr>
        <w:spacing w:line="520" w:lineRule="exact"/>
        <w:rPr>
          <w:rStyle w:val="9"/>
          <w:rFonts w:ascii="黑体" w:eastAsia="黑体"/>
          <w:b w:val="0"/>
          <w:color w:val="000000"/>
          <w:sz w:val="32"/>
          <w:szCs w:val="32"/>
          <w:highlight w:val="none"/>
        </w:rPr>
      </w:pPr>
      <w:r>
        <w:rPr>
          <w:rStyle w:val="9"/>
          <w:rFonts w:hint="eastAsia" w:ascii="黑体" w:eastAsia="黑体"/>
          <w:b w:val="0"/>
          <w:color w:val="000000"/>
          <w:sz w:val="32"/>
          <w:szCs w:val="32"/>
          <w:highlight w:val="none"/>
        </w:rPr>
        <w:t>二、</w:t>
      </w:r>
      <w:r>
        <w:rPr>
          <w:rStyle w:val="9"/>
          <w:rFonts w:hint="eastAsia" w:ascii="黑体" w:eastAsia="黑体"/>
          <w:b w:val="0"/>
          <w:color w:val="000000"/>
          <w:sz w:val="32"/>
          <w:szCs w:val="32"/>
          <w:highlight w:val="none"/>
          <w:lang w:eastAsia="zh-CN"/>
        </w:rPr>
        <w:t>2025年</w:t>
      </w:r>
      <w:r>
        <w:rPr>
          <w:rStyle w:val="9"/>
          <w:rFonts w:hint="eastAsia" w:ascii="黑体" w:eastAsia="黑体"/>
          <w:b w:val="0"/>
          <w:color w:val="000000"/>
          <w:sz w:val="32"/>
          <w:szCs w:val="32"/>
          <w:highlight w:val="none"/>
        </w:rPr>
        <w:t>衢州市财政国库支付中心单位预算安排情况说明</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（一）关于衢州市财政国库支付中心</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收支预算情况的总体说明</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（二）关于衢州市财政国库支付中心</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收入预算情况说明</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（三）关于衢州市财政国库支付中心</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支出预算情况说明</w:t>
      </w:r>
      <w:r>
        <w:rPr>
          <w:rFonts w:hint="eastAsia" w:ascii="楷体_GB2312" w:hAnsi="楷体_GB2312" w:eastAsia="楷体_GB2312" w:cs="楷体_GB2312"/>
          <w:bCs/>
          <w:sz w:val="32"/>
          <w:szCs w:val="32"/>
          <w:highlight w:val="none"/>
        </w:rPr>
        <w:br w:type="textWrapping"/>
      </w:r>
      <w:r>
        <w:rPr>
          <w:rFonts w:hint="eastAsia" w:ascii="楷体_GB2312" w:hAnsi="楷体_GB2312" w:eastAsia="楷体_GB2312" w:cs="楷体_GB2312"/>
          <w:bCs/>
          <w:sz w:val="32"/>
          <w:szCs w:val="32"/>
          <w:highlight w:val="none"/>
        </w:rPr>
        <w:t>（四）关于衢州市财政国库支付中心</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（五）关于衢州市财政国库支付中心</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一般公共预算拨款情况说明</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（六）关于衢州市财政国库支付中心</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（七）关于衢州市财政国库支付中心</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（八）关于衢州市财政国库支付中心</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（九）关于衢州市财政国库支付中心</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（十）其他重要事项的情况说明</w:t>
      </w:r>
    </w:p>
    <w:p>
      <w:pPr>
        <w:pStyle w:val="14"/>
        <w:spacing w:line="520" w:lineRule="exact"/>
        <w:rPr>
          <w:rStyle w:val="9"/>
          <w:rFonts w:ascii="黑体" w:hAnsi="Calibri" w:eastAsia="黑体"/>
          <w:b w:val="0"/>
          <w:color w:val="000000"/>
          <w:kern w:val="2"/>
          <w:sz w:val="32"/>
          <w:szCs w:val="32"/>
          <w:highlight w:val="none"/>
        </w:rPr>
      </w:pPr>
      <w:r>
        <w:rPr>
          <w:rStyle w:val="9"/>
          <w:rFonts w:hint="eastAsia" w:ascii="黑体" w:hAnsi="Calibri" w:eastAsia="黑体"/>
          <w:b w:val="0"/>
          <w:color w:val="000000"/>
          <w:kern w:val="2"/>
          <w:sz w:val="32"/>
          <w:szCs w:val="32"/>
          <w:highlight w:val="none"/>
        </w:rPr>
        <w:t>三、名词解释</w:t>
      </w:r>
    </w:p>
    <w:p>
      <w:pPr>
        <w:spacing w:line="520" w:lineRule="exact"/>
        <w:rPr>
          <w:rStyle w:val="9"/>
          <w:rFonts w:ascii="黑体" w:eastAsia="黑体"/>
          <w:b w:val="0"/>
          <w:color w:val="000000"/>
          <w:sz w:val="32"/>
          <w:szCs w:val="32"/>
          <w:highlight w:val="none"/>
        </w:rPr>
      </w:pPr>
      <w:r>
        <w:rPr>
          <w:rStyle w:val="9"/>
          <w:rFonts w:hint="eastAsia" w:ascii="黑体" w:eastAsia="黑体"/>
          <w:b w:val="0"/>
          <w:color w:val="000000"/>
          <w:sz w:val="32"/>
          <w:szCs w:val="32"/>
          <w:highlight w:val="none"/>
        </w:rPr>
        <w:t>四、</w:t>
      </w:r>
      <w:r>
        <w:rPr>
          <w:rStyle w:val="9"/>
          <w:rFonts w:hint="eastAsia" w:ascii="黑体" w:eastAsia="黑体"/>
          <w:b w:val="0"/>
          <w:color w:val="000000"/>
          <w:sz w:val="32"/>
          <w:szCs w:val="32"/>
          <w:highlight w:val="none"/>
          <w:lang w:eastAsia="zh-CN"/>
        </w:rPr>
        <w:t>2025年</w:t>
      </w:r>
      <w:r>
        <w:rPr>
          <w:rStyle w:val="9"/>
          <w:rFonts w:hint="eastAsia" w:ascii="黑体" w:eastAsia="黑体"/>
          <w:b w:val="0"/>
          <w:color w:val="000000"/>
          <w:sz w:val="32"/>
          <w:szCs w:val="32"/>
          <w:highlight w:val="none"/>
        </w:rPr>
        <w:t>衢州市财政国库支付中心单位预算表</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单位收支预算总表</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单位收入预算总表</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（三）</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单位支出预算总表</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（四）</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单位财政拨款收支预算总表</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（五）</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单位一般公共预算支出表</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（六）</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（七）</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（八）</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单位政府性基金预算支出表</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（九）</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（十）</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单位项目支出预算表</w:t>
      </w:r>
    </w:p>
    <w:p>
      <w:pPr>
        <w:autoSpaceDE w:val="0"/>
        <w:autoSpaceDN w:val="0"/>
        <w:adjustRightInd w:val="0"/>
        <w:ind w:left="420" w:leftChars="200"/>
        <w:jc w:val="left"/>
        <w:rPr>
          <w:rStyle w:val="9"/>
          <w:rFonts w:ascii="楷体_GB2312" w:hAnsi="楷体_GB2312" w:eastAsia="楷体_GB2312" w:cs="楷体_GB2312"/>
          <w:b w:val="0"/>
          <w:sz w:val="32"/>
          <w:szCs w:val="32"/>
          <w:highlight w:val="none"/>
        </w:rPr>
      </w:pPr>
      <w:r>
        <w:rPr>
          <w:rFonts w:hint="eastAsia" w:ascii="楷体_GB2312" w:hAnsi="楷体_GB2312" w:eastAsia="楷体_GB2312" w:cs="楷体_GB2312"/>
          <w:bCs/>
          <w:sz w:val="32"/>
          <w:szCs w:val="32"/>
          <w:highlight w:val="none"/>
        </w:rPr>
        <w:t>（十一）</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单位项目支出绩效表</w:t>
      </w:r>
    </w:p>
    <w:p>
      <w:pPr>
        <w:pStyle w:val="2"/>
        <w:rPr>
          <w:rStyle w:val="9"/>
          <w:rFonts w:hint="default" w:ascii="黑体" w:eastAsia="黑体"/>
          <w:b w:val="0"/>
          <w:sz w:val="32"/>
          <w:szCs w:val="32"/>
          <w:highlight w:val="none"/>
        </w:rPr>
      </w:pPr>
    </w:p>
    <w:p>
      <w:pPr>
        <w:pStyle w:val="2"/>
        <w:rPr>
          <w:rStyle w:val="9"/>
          <w:rFonts w:hint="default" w:ascii="黑体" w:eastAsia="黑体"/>
          <w:b w:val="0"/>
          <w:sz w:val="32"/>
          <w:szCs w:val="32"/>
          <w:highlight w:val="none"/>
        </w:rPr>
      </w:pPr>
    </w:p>
    <w:p>
      <w:pPr>
        <w:pStyle w:val="2"/>
        <w:rPr>
          <w:rStyle w:val="9"/>
          <w:rFonts w:hint="default" w:ascii="黑体" w:eastAsia="黑体"/>
          <w:b w:val="0"/>
          <w:sz w:val="32"/>
          <w:szCs w:val="32"/>
          <w:highlight w:val="none"/>
        </w:rPr>
      </w:pPr>
    </w:p>
    <w:p>
      <w:pPr>
        <w:pStyle w:val="2"/>
        <w:rPr>
          <w:rStyle w:val="9"/>
          <w:rFonts w:hint="default" w:ascii="黑体" w:eastAsia="黑体"/>
          <w:b w:val="0"/>
          <w:sz w:val="32"/>
          <w:szCs w:val="32"/>
          <w:highlight w:val="none"/>
        </w:rPr>
      </w:pPr>
    </w:p>
    <w:p>
      <w:pPr>
        <w:pStyle w:val="2"/>
        <w:rPr>
          <w:rStyle w:val="9"/>
          <w:rFonts w:hint="default" w:ascii="黑体" w:eastAsia="黑体"/>
          <w:b w:val="0"/>
          <w:sz w:val="32"/>
          <w:szCs w:val="32"/>
          <w:highlight w:val="none"/>
        </w:rPr>
      </w:pPr>
    </w:p>
    <w:p>
      <w:pPr>
        <w:pStyle w:val="2"/>
        <w:rPr>
          <w:rStyle w:val="9"/>
          <w:rFonts w:hint="default" w:ascii="黑体" w:eastAsia="黑体"/>
          <w:b w:val="0"/>
          <w:sz w:val="32"/>
          <w:szCs w:val="32"/>
          <w:highlight w:val="none"/>
        </w:rPr>
      </w:pPr>
    </w:p>
    <w:p>
      <w:pPr>
        <w:pStyle w:val="2"/>
        <w:rPr>
          <w:rStyle w:val="9"/>
          <w:rFonts w:hint="default" w:ascii="黑体" w:eastAsia="黑体"/>
          <w:b w:val="0"/>
          <w:sz w:val="32"/>
          <w:szCs w:val="32"/>
          <w:highlight w:val="none"/>
        </w:rPr>
      </w:pPr>
    </w:p>
    <w:p>
      <w:pPr>
        <w:keepNext w:val="0"/>
        <w:keepLines w:val="0"/>
        <w:pageBreakBefore w:val="0"/>
        <w:kinsoku/>
        <w:wordWrap/>
        <w:overflowPunct/>
        <w:topLinePunct w:val="0"/>
        <w:bidi w:val="0"/>
        <w:snapToGrid/>
        <w:spacing w:line="560" w:lineRule="exact"/>
        <w:ind w:firstLine="640" w:firstLineChars="200"/>
        <w:textAlignment w:val="auto"/>
        <w:rPr>
          <w:rStyle w:val="9"/>
          <w:rFonts w:ascii="黑体" w:eastAsia="黑体"/>
          <w:b w:val="0"/>
          <w:color w:val="000000"/>
          <w:sz w:val="32"/>
          <w:szCs w:val="32"/>
          <w:highlight w:val="none"/>
        </w:rPr>
      </w:pPr>
      <w:r>
        <w:rPr>
          <w:rStyle w:val="9"/>
          <w:rFonts w:hint="eastAsia" w:ascii="黑体" w:eastAsia="黑体"/>
          <w:b w:val="0"/>
          <w:color w:val="000000"/>
          <w:sz w:val="32"/>
          <w:szCs w:val="32"/>
          <w:highlight w:val="none"/>
        </w:rPr>
        <w:t>一、单位概况</w:t>
      </w:r>
    </w:p>
    <w:p>
      <w:pPr>
        <w:keepNext w:val="0"/>
        <w:keepLines w:val="0"/>
        <w:pageBreakBefore w:val="0"/>
        <w:kinsoku/>
        <w:wordWrap/>
        <w:overflowPunct/>
        <w:topLinePunct w:val="0"/>
        <w:bidi w:val="0"/>
        <w:snapToGrid/>
        <w:spacing w:line="560" w:lineRule="exact"/>
        <w:ind w:firstLine="627" w:firstLineChars="196"/>
        <w:textAlignment w:val="auto"/>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（一）主要职能</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bCs/>
          <w:sz w:val="32"/>
          <w:szCs w:val="32"/>
          <w:highlight w:val="none"/>
        </w:rPr>
      </w:pPr>
      <w:r>
        <w:rPr>
          <w:rFonts w:hint="eastAsia" w:ascii="仿宋_GB2312" w:eastAsia="仿宋_GB2312"/>
          <w:bCs/>
          <w:sz w:val="32"/>
          <w:szCs w:val="32"/>
          <w:highlight w:val="none"/>
        </w:rPr>
        <w:t>1.承担市级预算单位财政直接支付、其他支付的审核、支付、清算、对账等工作。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bCs/>
          <w:sz w:val="32"/>
          <w:szCs w:val="32"/>
          <w:highlight w:val="none"/>
        </w:rPr>
      </w:pPr>
      <w:r>
        <w:rPr>
          <w:rFonts w:hint="eastAsia" w:ascii="仿宋_GB2312" w:eastAsia="仿宋_GB2312"/>
          <w:bCs/>
          <w:sz w:val="32"/>
          <w:szCs w:val="32"/>
          <w:highlight w:val="none"/>
        </w:rPr>
        <w:t>2.负责市级预算单位工资、奖金、津贴补贴、绩效工资的审核发放工作。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bCs/>
          <w:sz w:val="32"/>
          <w:szCs w:val="32"/>
          <w:highlight w:val="none"/>
        </w:rPr>
      </w:pPr>
      <w:r>
        <w:rPr>
          <w:rFonts w:hint="eastAsia" w:ascii="仿宋_GB2312" w:eastAsia="仿宋_GB2312"/>
          <w:bCs/>
          <w:sz w:val="32"/>
          <w:szCs w:val="32"/>
          <w:highlight w:val="none"/>
        </w:rPr>
        <w:t>3.负责市级预算单位国库授权支付业务的动态监控工作。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bCs/>
          <w:sz w:val="32"/>
          <w:szCs w:val="32"/>
          <w:highlight w:val="none"/>
        </w:rPr>
      </w:pPr>
      <w:r>
        <w:rPr>
          <w:rFonts w:hint="eastAsia" w:ascii="仿宋_GB2312" w:eastAsia="仿宋_GB2312"/>
          <w:bCs/>
          <w:sz w:val="32"/>
          <w:szCs w:val="32"/>
          <w:highlight w:val="none"/>
        </w:rPr>
        <w:t>4.负责行政事业单位财务核算云服务平台的运维管理工作。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highlight w:val="none"/>
        </w:rPr>
      </w:pPr>
      <w:r>
        <w:rPr>
          <w:rFonts w:hint="eastAsia" w:ascii="仿宋_GB2312" w:eastAsia="仿宋_GB2312"/>
          <w:bCs/>
          <w:sz w:val="32"/>
          <w:szCs w:val="32"/>
          <w:highlight w:val="none"/>
        </w:rPr>
        <w:t>5.完成衢州市财政国库支付中心交办的其他任务。</w:t>
      </w:r>
    </w:p>
    <w:p>
      <w:pPr>
        <w:keepNext w:val="0"/>
        <w:keepLines w:val="0"/>
        <w:pageBreakBefore w:val="0"/>
        <w:kinsoku/>
        <w:wordWrap/>
        <w:overflowPunct/>
        <w:topLinePunct w:val="0"/>
        <w:bidi w:val="0"/>
        <w:snapToGrid/>
        <w:spacing w:line="560" w:lineRule="exact"/>
        <w:ind w:firstLine="627" w:firstLineChars="196"/>
        <w:textAlignment w:val="auto"/>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（二）单位机构设置情况</w:t>
      </w:r>
    </w:p>
    <w:p>
      <w:pPr>
        <w:keepNext w:val="0"/>
        <w:keepLines w:val="0"/>
        <w:pageBreakBefore w:val="0"/>
        <w:kinsoku/>
        <w:wordWrap/>
        <w:overflowPunct/>
        <w:topLinePunct w:val="0"/>
        <w:bidi w:val="0"/>
        <w:snapToGrid/>
        <w:spacing w:line="560" w:lineRule="exact"/>
        <w:ind w:firstLine="627" w:firstLineChars="196"/>
        <w:textAlignment w:val="auto"/>
        <w:rPr>
          <w:rFonts w:hint="eastAsia" w:ascii="仿宋_GB2312" w:eastAsia="仿宋_GB2312"/>
          <w:bCs/>
          <w:sz w:val="32"/>
          <w:szCs w:val="32"/>
          <w:highlight w:val="none"/>
        </w:rPr>
      </w:pPr>
      <w:r>
        <w:rPr>
          <w:rFonts w:hint="eastAsia" w:ascii="仿宋_GB2312" w:eastAsia="仿宋_GB2312"/>
          <w:bCs/>
          <w:sz w:val="32"/>
          <w:szCs w:val="32"/>
          <w:highlight w:val="none"/>
        </w:rPr>
        <w:t>从预算单位构成看，衢州市财政国库支付中心预算包括：内设5个科，分别为综合科、受理科、动态监控科、支付科、核算科。</w:t>
      </w:r>
    </w:p>
    <w:p>
      <w:pPr>
        <w:keepNext w:val="0"/>
        <w:keepLines w:val="0"/>
        <w:pageBreakBefore w:val="0"/>
        <w:kinsoku/>
        <w:wordWrap/>
        <w:overflowPunct/>
        <w:topLinePunct w:val="0"/>
        <w:bidi w:val="0"/>
        <w:snapToGrid/>
        <w:spacing w:line="560" w:lineRule="exact"/>
        <w:ind w:firstLine="640" w:firstLineChars="200"/>
        <w:textAlignment w:val="auto"/>
        <w:rPr>
          <w:rFonts w:ascii="楷体_GB2312" w:hAnsi="楷体_GB2312" w:eastAsia="楷体_GB2312" w:cs="楷体_GB2312"/>
          <w:color w:val="000000"/>
          <w:sz w:val="32"/>
          <w:szCs w:val="32"/>
          <w:highlight w:val="none"/>
        </w:rPr>
      </w:pPr>
      <w:r>
        <w:rPr>
          <w:rStyle w:val="9"/>
          <w:rFonts w:hint="eastAsia" w:ascii="黑体" w:eastAsia="黑体"/>
          <w:b w:val="0"/>
          <w:color w:val="000000"/>
          <w:sz w:val="32"/>
          <w:szCs w:val="32"/>
          <w:highlight w:val="none"/>
        </w:rPr>
        <w:t>二、</w:t>
      </w:r>
      <w:r>
        <w:rPr>
          <w:rStyle w:val="9"/>
          <w:rFonts w:hint="eastAsia" w:ascii="黑体" w:eastAsia="黑体"/>
          <w:b w:val="0"/>
          <w:color w:val="000000"/>
          <w:sz w:val="32"/>
          <w:szCs w:val="32"/>
          <w:highlight w:val="none"/>
          <w:lang w:eastAsia="zh-CN"/>
        </w:rPr>
        <w:t>2025年</w:t>
      </w:r>
      <w:r>
        <w:rPr>
          <w:rStyle w:val="9"/>
          <w:rFonts w:hint="eastAsia" w:ascii="黑体" w:eastAsia="黑体"/>
          <w:b w:val="0"/>
          <w:color w:val="000000"/>
          <w:sz w:val="32"/>
          <w:szCs w:val="32"/>
          <w:highlight w:val="none"/>
        </w:rPr>
        <w:t>衢州市财政国库支付中心单位预算安排情况说明</w:t>
      </w:r>
      <w:r>
        <w:rPr>
          <w:rFonts w:hint="eastAsia"/>
          <w:color w:val="000000"/>
          <w:sz w:val="32"/>
          <w:szCs w:val="32"/>
          <w:highlight w:val="none"/>
        </w:rPr>
        <w:br w:type="textWrapping"/>
      </w:r>
      <w:r>
        <w:rPr>
          <w:rFonts w:hint="eastAsia" w:ascii="仿宋_GB2312" w:eastAsia="仿宋_GB2312"/>
          <w:b/>
          <w:bCs/>
          <w:color w:val="000000"/>
          <w:sz w:val="32"/>
          <w:szCs w:val="32"/>
          <w:highlight w:val="none"/>
        </w:rPr>
        <w:t>　　</w:t>
      </w:r>
      <w:r>
        <w:rPr>
          <w:rFonts w:hint="eastAsia" w:ascii="楷体_GB2312" w:hAnsi="楷体_GB2312" w:eastAsia="楷体_GB2312" w:cs="楷体_GB2312"/>
          <w:color w:val="000000"/>
          <w:sz w:val="32"/>
          <w:szCs w:val="32"/>
          <w:highlight w:val="none"/>
        </w:rPr>
        <w:t>（一）关于衢州市财政国库支付中心</w:t>
      </w:r>
      <w:r>
        <w:rPr>
          <w:rStyle w:val="9"/>
          <w:rFonts w:hint="eastAsia" w:ascii="楷体_GB2312" w:hAnsi="楷体_GB2312" w:eastAsia="楷体_GB2312" w:cs="楷体_GB2312"/>
          <w:b w:val="0"/>
          <w:bCs w:val="0"/>
          <w:color w:val="000000"/>
          <w:sz w:val="32"/>
          <w:szCs w:val="32"/>
          <w:highlight w:val="none"/>
          <w:lang w:eastAsia="zh-CN"/>
        </w:rPr>
        <w:t>2025年</w:t>
      </w:r>
      <w:r>
        <w:rPr>
          <w:rStyle w:val="9"/>
          <w:rFonts w:hint="eastAsia" w:ascii="楷体_GB2312" w:hAnsi="楷体_GB2312" w:eastAsia="楷体_GB2312" w:cs="楷体_GB2312"/>
          <w:b w:val="0"/>
          <w:bCs w:val="0"/>
          <w:color w:val="000000"/>
          <w:sz w:val="32"/>
          <w:szCs w:val="32"/>
          <w:highlight w:val="none"/>
        </w:rPr>
        <w:t>收支预算情况的总体说明</w:t>
      </w:r>
    </w:p>
    <w:p>
      <w:pPr>
        <w:keepNext w:val="0"/>
        <w:keepLines w:val="0"/>
        <w:pageBreakBefore w:val="0"/>
        <w:kinsoku/>
        <w:wordWrap/>
        <w:overflowPunct/>
        <w:topLinePunct w:val="0"/>
        <w:bidi w:val="0"/>
        <w:snapToGrid/>
        <w:spacing w:line="560" w:lineRule="exact"/>
        <w:textAlignment w:val="auto"/>
        <w:rPr>
          <w:rFonts w:ascii="楷体_GB2312" w:hAnsi="楷体_GB2312" w:eastAsia="楷体_GB2312" w:cs="楷体_GB2312"/>
          <w:b/>
          <w:color w:val="000000"/>
          <w:sz w:val="32"/>
          <w:szCs w:val="32"/>
          <w:highlight w:val="none"/>
        </w:rPr>
      </w:pPr>
      <w:r>
        <w:rPr>
          <w:rFonts w:hint="eastAsia" w:ascii="仿宋_GB2312" w:eastAsia="仿宋_GB2312"/>
          <w:bCs/>
          <w:color w:val="000000"/>
          <w:sz w:val="32"/>
          <w:szCs w:val="32"/>
          <w:highlight w:val="none"/>
        </w:rPr>
        <w:t xml:space="preserve">    按照</w:t>
      </w:r>
      <w:r>
        <w:rPr>
          <w:rFonts w:hint="eastAsia" w:ascii="仿宋_GB2312" w:eastAsia="仿宋_GB2312"/>
          <w:bCs/>
          <w:sz w:val="32"/>
          <w:szCs w:val="32"/>
          <w:highlight w:val="none"/>
        </w:rPr>
        <w:t>综合预算的原则，衢州市财政国库支付中心</w:t>
      </w:r>
      <w:r>
        <w:rPr>
          <w:rFonts w:hint="eastAsia" w:ascii="仿宋_GB2312" w:eastAsia="仿宋_GB2312"/>
          <w:color w:val="000000"/>
          <w:sz w:val="32"/>
          <w:szCs w:val="32"/>
          <w:highlight w:val="none"/>
        </w:rPr>
        <w:t>所有收入和支出均纳入部门预算管理。收入包括：一般公共预算拨款收入、其他收入；支出包括：一般公共服务支出、社会保障和就业支出、卫生健康支出、住房保障支出。衢州市财政国库支付中心</w:t>
      </w:r>
      <w:r>
        <w:rPr>
          <w:rFonts w:hint="eastAsia" w:ascii="仿宋_GB2312" w:eastAsia="仿宋_GB2312"/>
          <w:color w:val="000000"/>
          <w:sz w:val="32"/>
          <w:szCs w:val="32"/>
          <w:highlight w:val="none"/>
          <w:lang w:eastAsia="zh-CN"/>
        </w:rPr>
        <w:t>2025年</w:t>
      </w:r>
      <w:r>
        <w:rPr>
          <w:rFonts w:hint="eastAsia" w:ascii="仿宋_GB2312" w:eastAsia="仿宋_GB2312"/>
          <w:color w:val="000000"/>
          <w:sz w:val="32"/>
          <w:szCs w:val="32"/>
          <w:highlight w:val="none"/>
        </w:rPr>
        <w:t>收支总预算1190.79万元。</w:t>
      </w:r>
    </w:p>
    <w:p>
      <w:pPr>
        <w:keepNext w:val="0"/>
        <w:keepLines w:val="0"/>
        <w:pageBreakBefore w:val="0"/>
        <w:kinsoku/>
        <w:wordWrap/>
        <w:overflowPunct/>
        <w:topLinePunct w:val="0"/>
        <w:bidi w:val="0"/>
        <w:snapToGrid/>
        <w:spacing w:line="560" w:lineRule="exact"/>
        <w:ind w:firstLine="642"/>
        <w:textAlignment w:val="auto"/>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（二）关于衢州市财政国库支付中心</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收入预算情况说明</w:t>
      </w:r>
    </w:p>
    <w:p>
      <w:pPr>
        <w:keepNext w:val="0"/>
        <w:keepLines w:val="0"/>
        <w:pageBreakBefore w:val="0"/>
        <w:kinsoku/>
        <w:wordWrap/>
        <w:overflowPunct/>
        <w:topLinePunct w:val="0"/>
        <w:bidi w:val="0"/>
        <w:snapToGrid/>
        <w:spacing w:line="560" w:lineRule="exact"/>
        <w:ind w:firstLine="642"/>
        <w:textAlignment w:val="auto"/>
        <w:rPr>
          <w:rFonts w:ascii="仿宋_GB2312" w:eastAsia="仿宋_GB2312"/>
          <w:color w:val="000000"/>
          <w:sz w:val="32"/>
          <w:szCs w:val="32"/>
          <w:highlight w:val="yellow"/>
        </w:rPr>
      </w:pPr>
      <w:r>
        <w:rPr>
          <w:rFonts w:hint="eastAsia" w:ascii="仿宋_GB2312" w:hAnsi="仿宋_GB2312" w:eastAsia="仿宋_GB2312" w:cs="仿宋_GB2312"/>
          <w:color w:val="000000"/>
          <w:sz w:val="32"/>
          <w:szCs w:val="32"/>
          <w:highlight w:val="none"/>
        </w:rPr>
        <w:t>衢州市财政国库支付中心</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收入预算1190.79万元，比上年执行数</w:t>
      </w:r>
      <w:r>
        <w:rPr>
          <w:rFonts w:hint="eastAsia" w:ascii="仿宋_GB2312" w:hAnsi="仿宋_GB2312" w:eastAsia="仿宋_GB2312" w:cs="仿宋_GB2312"/>
          <w:color w:val="000000"/>
          <w:sz w:val="32"/>
          <w:szCs w:val="32"/>
          <w:highlight w:val="none"/>
          <w:lang w:eastAsia="zh-CN"/>
        </w:rPr>
        <w:t>增加</w:t>
      </w:r>
      <w:r>
        <w:rPr>
          <w:rFonts w:hint="eastAsia" w:ascii="仿宋_GB2312" w:hAnsi="仿宋_GB2312" w:eastAsia="仿宋_GB2312" w:cs="仿宋_GB2312"/>
          <w:color w:val="000000"/>
          <w:sz w:val="32"/>
          <w:szCs w:val="32"/>
          <w:highlight w:val="none"/>
          <w:lang w:val="en-US" w:eastAsia="zh-CN"/>
        </w:rPr>
        <w:t>22.38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rPr>
        <w:t>长</w:t>
      </w:r>
      <w:r>
        <w:rPr>
          <w:rFonts w:hint="eastAsia" w:ascii="仿宋_GB2312" w:hAnsi="仿宋_GB2312" w:eastAsia="仿宋_GB2312" w:cs="仿宋_GB2312"/>
          <w:color w:val="000000"/>
          <w:sz w:val="32"/>
          <w:szCs w:val="32"/>
          <w:highlight w:val="none"/>
          <w:lang w:val="en-US" w:eastAsia="zh-CN"/>
        </w:rPr>
        <w:t>1.92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yellow"/>
        </w:rPr>
        <w:t>主要是</w:t>
      </w:r>
      <w:r>
        <w:rPr>
          <w:rFonts w:hint="eastAsia" w:ascii="仿宋_GB2312" w:hAnsi="仿宋_GB2312" w:eastAsia="仿宋_GB2312" w:cs="仿宋_GB2312"/>
          <w:color w:val="000000"/>
          <w:sz w:val="32"/>
          <w:szCs w:val="32"/>
          <w:highlight w:val="yellow"/>
          <w:lang w:eastAsia="zh-CN"/>
        </w:rPr>
        <w:t>人员增加，人员经费增加</w:t>
      </w:r>
      <w:r>
        <w:rPr>
          <w:rFonts w:hint="eastAsia" w:ascii="仿宋_GB2312" w:hAnsi="仿宋_GB2312" w:eastAsia="仿宋_GB2312" w:cs="仿宋_GB2312"/>
          <w:color w:val="000000"/>
          <w:sz w:val="32"/>
          <w:szCs w:val="32"/>
          <w:highlight w:val="yellow"/>
        </w:rPr>
        <w:t>。</w:t>
      </w:r>
    </w:p>
    <w:p>
      <w:pPr>
        <w:keepNext w:val="0"/>
        <w:keepLines w:val="0"/>
        <w:pageBreakBefore w:val="0"/>
        <w:kinsoku/>
        <w:wordWrap/>
        <w:overflowPunct/>
        <w:topLinePunct w:val="0"/>
        <w:bidi w:val="0"/>
        <w:snapToGrid/>
        <w:spacing w:line="560" w:lineRule="exact"/>
        <w:ind w:firstLine="642"/>
        <w:textAlignment w:val="auto"/>
        <w:rPr>
          <w:rFonts w:hint="eastAsia" w:ascii="仿宋_GB2312" w:hAnsi="仿宋_GB2312" w:eastAsia="仿宋_GB2312" w:cs="仿宋_GB2312"/>
          <w:color w:val="000000"/>
          <w:sz w:val="32"/>
          <w:szCs w:val="32"/>
          <w:highlight w:val="yellow"/>
        </w:rPr>
      </w:pPr>
      <w:r>
        <w:rPr>
          <w:rFonts w:hint="eastAsia" w:ascii="仿宋_GB2312" w:eastAsia="仿宋_GB2312"/>
          <w:color w:val="000000"/>
          <w:sz w:val="32"/>
          <w:szCs w:val="32"/>
          <w:highlight w:val="none"/>
        </w:rPr>
        <w:t>其中：一般公共预算拨款收入</w:t>
      </w:r>
      <w:r>
        <w:rPr>
          <w:rFonts w:ascii="仿宋_GB2312" w:eastAsia="仿宋_GB2312"/>
          <w:color w:val="000000"/>
          <w:sz w:val="32"/>
          <w:szCs w:val="32"/>
          <w:highlight w:val="none"/>
        </w:rPr>
        <w:t>1029.39</w:t>
      </w:r>
      <w:r>
        <w:rPr>
          <w:rFonts w:hint="eastAsia" w:ascii="仿宋_GB2312" w:eastAsia="仿宋_GB2312"/>
          <w:color w:val="000000"/>
          <w:sz w:val="32"/>
          <w:szCs w:val="32"/>
          <w:highlight w:val="none"/>
        </w:rPr>
        <w:t>万元（上年结转0.00万元），占86.4%；其他收入161.40万元，占13.6%；</w:t>
      </w:r>
      <w:r>
        <w:rPr>
          <w:rFonts w:hint="eastAsia" w:ascii="仿宋_GB2312" w:eastAsia="仿宋_GB2312"/>
          <w:color w:val="000000"/>
          <w:sz w:val="32"/>
          <w:szCs w:val="32"/>
          <w:highlight w:val="none"/>
        </w:rPr>
        <w:br w:type="textWrapping"/>
      </w:r>
      <w:r>
        <w:rPr>
          <w:rFonts w:hint="eastAsia" w:ascii="楷体_GB2312" w:hAnsi="楷体_GB2312" w:eastAsia="楷体_GB2312" w:cs="楷体_GB2312"/>
          <w:bCs/>
          <w:color w:val="000000"/>
          <w:sz w:val="32"/>
          <w:szCs w:val="32"/>
          <w:highlight w:val="none"/>
        </w:rPr>
        <w:t>　　（三）关于衢州市财政国库支付中心</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支出预算情况说明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衢州市财政国库支付中心</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支出预算1190.79万元，比上年执行数增加96.61万元，增长8.8%，</w:t>
      </w:r>
      <w:r>
        <w:rPr>
          <w:rFonts w:hint="eastAsia" w:ascii="仿宋_GB2312" w:hAnsi="仿宋_GB2312" w:eastAsia="仿宋_GB2312" w:cs="仿宋_GB2312"/>
          <w:color w:val="000000"/>
          <w:sz w:val="32"/>
          <w:szCs w:val="32"/>
          <w:highlight w:val="yellow"/>
        </w:rPr>
        <w:t>主要是人员增加，人员经费增加。</w:t>
      </w:r>
    </w:p>
    <w:p>
      <w:pPr>
        <w:keepNext w:val="0"/>
        <w:keepLines w:val="0"/>
        <w:pageBreakBefore w:val="0"/>
        <w:kinsoku/>
        <w:wordWrap/>
        <w:overflowPunct/>
        <w:topLinePunct w:val="0"/>
        <w:bidi w:val="0"/>
        <w:snapToGrid/>
        <w:spacing w:line="560" w:lineRule="exact"/>
        <w:ind w:firstLine="63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1.按支出功能分类，包括一般公共服务支出942.55万元、社会保障和就业支出142.65万元、卫生健康支出17.80万元、住房保障支出87.79万元。</w:t>
      </w:r>
    </w:p>
    <w:p>
      <w:pPr>
        <w:keepNext w:val="0"/>
        <w:keepLines w:val="0"/>
        <w:pageBreakBefore w:val="0"/>
        <w:kinsoku/>
        <w:wordWrap/>
        <w:overflowPunct/>
        <w:topLinePunct w:val="0"/>
        <w:bidi w:val="0"/>
        <w:snapToGrid/>
        <w:spacing w:line="560" w:lineRule="exact"/>
        <w:ind w:firstLine="642"/>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2.按支出用途分类，包括人员支出1056.60万元，占88.7%；日常公用支出123.54万元，占10.4%；项目支出10.65万元，占0.9%。</w:t>
      </w:r>
    </w:p>
    <w:p>
      <w:pPr>
        <w:keepNext w:val="0"/>
        <w:keepLines w:val="0"/>
        <w:pageBreakBefore w:val="0"/>
        <w:kinsoku/>
        <w:wordWrap/>
        <w:overflowPunct/>
        <w:topLinePunct w:val="0"/>
        <w:bidi w:val="0"/>
        <w:snapToGrid/>
        <w:spacing w:line="560" w:lineRule="exact"/>
        <w:ind w:firstLine="642"/>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年终结转结余0.00万元。</w:t>
      </w:r>
    </w:p>
    <w:p>
      <w:pPr>
        <w:keepNext w:val="0"/>
        <w:keepLines w:val="0"/>
        <w:pageBreakBefore w:val="0"/>
        <w:kinsoku/>
        <w:wordWrap/>
        <w:overflowPunct/>
        <w:topLinePunct w:val="0"/>
        <w:bidi w:val="0"/>
        <w:snapToGrid/>
        <w:spacing w:line="560" w:lineRule="exact"/>
        <w:ind w:firstLine="627" w:firstLineChars="196"/>
        <w:textAlignment w:val="auto"/>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（四）关于衢州市财政国库支付中心</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财政拨款收支预算情况的总体说明</w:t>
      </w:r>
    </w:p>
    <w:p>
      <w:pPr>
        <w:keepNext w:val="0"/>
        <w:keepLines w:val="0"/>
        <w:pageBreakBefore w:val="0"/>
        <w:kinsoku/>
        <w:wordWrap/>
        <w:overflowPunct/>
        <w:topLinePunct w:val="0"/>
        <w:bidi w:val="0"/>
        <w:snapToGrid/>
        <w:spacing w:line="560" w:lineRule="exact"/>
        <w:ind w:firstLine="64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衢州市财政国库支付中心</w:t>
      </w:r>
      <w:r>
        <w:rPr>
          <w:rFonts w:hint="eastAsia" w:ascii="仿宋_GB2312" w:eastAsia="仿宋_GB2312"/>
          <w:color w:val="000000"/>
          <w:sz w:val="32"/>
          <w:szCs w:val="32"/>
          <w:highlight w:val="none"/>
          <w:lang w:eastAsia="zh-CN"/>
        </w:rPr>
        <w:t>2025年</w:t>
      </w:r>
      <w:r>
        <w:rPr>
          <w:rFonts w:hint="eastAsia" w:ascii="仿宋_GB2312" w:eastAsia="仿宋_GB2312"/>
          <w:color w:val="000000"/>
          <w:sz w:val="32"/>
          <w:szCs w:val="32"/>
          <w:highlight w:val="none"/>
        </w:rPr>
        <w:t>财政拨款收支总预算1029.39万元。收入包括：一般公共预算1029.39万元；支出包括：一般公共服务支出781.87万元、社会保障和就业支出141.93万元、卫生健康支出17.80万元、住房保障支出87.79万元。</w:t>
      </w:r>
    </w:p>
    <w:p>
      <w:pPr>
        <w:keepNext w:val="0"/>
        <w:keepLines w:val="0"/>
        <w:pageBreakBefore w:val="0"/>
        <w:numPr>
          <w:ilvl w:val="0"/>
          <w:numId w:val="1"/>
        </w:numPr>
        <w:kinsoku/>
        <w:wordWrap/>
        <w:overflowPunct/>
        <w:topLinePunct w:val="0"/>
        <w:bidi w:val="0"/>
        <w:snapToGrid/>
        <w:spacing w:line="560" w:lineRule="exact"/>
        <w:ind w:firstLine="640"/>
        <w:textAlignment w:val="auto"/>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关于衢州市财政国库支付中心</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一般公共预算拨款情况说明</w:t>
      </w:r>
    </w:p>
    <w:p>
      <w:pPr>
        <w:keepNext w:val="0"/>
        <w:keepLines w:val="0"/>
        <w:pageBreakBefore w:val="0"/>
        <w:kinsoku/>
        <w:wordWrap/>
        <w:overflowPunct/>
        <w:topLinePunct w:val="0"/>
        <w:bidi w:val="0"/>
        <w:snapToGrid/>
        <w:spacing w:line="560" w:lineRule="exact"/>
        <w:ind w:firstLine="642"/>
        <w:textAlignment w:val="auto"/>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1.一般公共预算拨款规模变化情况。</w:t>
      </w:r>
    </w:p>
    <w:p>
      <w:pPr>
        <w:keepNext w:val="0"/>
        <w:keepLines w:val="0"/>
        <w:pageBreakBefore w:val="0"/>
        <w:kinsoku/>
        <w:wordWrap/>
        <w:overflowPunct/>
        <w:topLinePunct w:val="0"/>
        <w:bidi w:val="0"/>
        <w:snapToGrid/>
        <w:spacing w:line="560" w:lineRule="exact"/>
        <w:ind w:firstLine="642"/>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衢州市财政国库支付中心</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t>1029.39</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64.79</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5.9</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w:t>
      </w:r>
      <w:r>
        <w:rPr>
          <w:rFonts w:hint="eastAsia" w:ascii="仿宋_GB2312" w:hAnsi="仿宋_GB2312" w:eastAsia="仿宋_GB2312" w:cs="仿宋_GB2312"/>
          <w:color w:val="000000"/>
          <w:sz w:val="32"/>
          <w:szCs w:val="32"/>
          <w:highlight w:val="yellow"/>
        </w:rPr>
        <w:t>是</w:t>
      </w:r>
      <w:r>
        <w:rPr>
          <w:rFonts w:hint="eastAsia" w:ascii="仿宋_GB2312" w:hAnsi="仿宋_GB2312" w:eastAsia="仿宋_GB2312" w:cs="仿宋_GB2312"/>
          <w:color w:val="000000"/>
          <w:sz w:val="32"/>
          <w:szCs w:val="32"/>
          <w:highlight w:val="yellow"/>
          <w:lang w:eastAsia="zh-CN"/>
        </w:rPr>
        <w:t>本年度安排其他资金支出较多</w:t>
      </w:r>
      <w:r>
        <w:rPr>
          <w:rFonts w:hint="eastAsia" w:ascii="仿宋_GB2312" w:hAnsi="仿宋_GB2312" w:eastAsia="仿宋_GB2312" w:cs="仿宋_GB2312"/>
          <w:color w:val="000000"/>
          <w:sz w:val="32"/>
          <w:szCs w:val="32"/>
          <w:highlight w:val="yellow"/>
        </w:rPr>
        <w:t>。</w:t>
      </w:r>
    </w:p>
    <w:p>
      <w:pPr>
        <w:keepNext w:val="0"/>
        <w:keepLines w:val="0"/>
        <w:pageBreakBefore w:val="0"/>
        <w:kinsoku/>
        <w:wordWrap/>
        <w:overflowPunct/>
        <w:topLinePunct w:val="0"/>
        <w:bidi w:val="0"/>
        <w:snapToGrid/>
        <w:spacing w:line="560" w:lineRule="exact"/>
        <w:ind w:firstLine="642"/>
        <w:textAlignment w:val="auto"/>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2.一般公共预算拨款结构情况。</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color w:val="000000"/>
          <w:sz w:val="32"/>
          <w:szCs w:val="32"/>
          <w:highlight w:val="none"/>
          <w:lang w:eastAsia="zh-CN"/>
        </w:rPr>
      </w:pPr>
      <w:r>
        <w:rPr>
          <w:rFonts w:hint="eastAsia" w:ascii="仿宋_GB2312" w:hAnsi="仿宋_GB2312" w:eastAsia="仿宋_GB2312" w:cs="仿宋_GB2312"/>
          <w:color w:val="000000"/>
          <w:sz w:val="32"/>
          <w:szCs w:val="32"/>
          <w:highlight w:val="none"/>
        </w:rPr>
        <w:t>一般公共服务支出781.87万元，占76.0%；社会保障和就业支出141.93万元，占13.8%；卫生健康支出17.80万元，占1.7%；住房保障支出87.79万元，占8.5%</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bidi w:val="0"/>
        <w:snapToGrid/>
        <w:spacing w:line="560" w:lineRule="exact"/>
        <w:ind w:firstLine="642"/>
        <w:textAlignment w:val="auto"/>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3.一般公共预算拨款具体使用情况。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rPr>
        <w:t>（1）一般公共服务支出（类）财政事务（款）行政运行（项）781.87万元，</w:t>
      </w:r>
      <w:r>
        <w:rPr>
          <w:rFonts w:hint="eastAsia" w:ascii="仿宋_GB2312" w:hAnsi="仿宋_GB2312" w:eastAsia="仿宋_GB2312" w:cs="仿宋_GB2312"/>
          <w:color w:val="000000"/>
          <w:sz w:val="32"/>
          <w:szCs w:val="32"/>
          <w:highlight w:val="yellow"/>
        </w:rPr>
        <w:t>主要用于在职人员支出、包干经费。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（2）社会保障和就业支出（类）行政事业单位养老支出（款）机关事业单位基本养老保险缴费支出（项）79.64万元，主要用于机关事业单位基本养老保险缴费。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（3）社会保障和就业支出（类）行政事业单位养老支出（款）机关事业单位职业年金缴费支出（项）39.82万元，主要用于机关事业单位职业年金缴费。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（4）社会保障和就业支出（类）行政事业单位养老支出（款）其他行政事业单位养老支出（项）22.48万元，主要用于提前退休人员补贴。</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（5）卫生健康支出（类）行政事业单位医疗（款）其他行政事业单位医疗支出（项）17.80万元，主要用于公务员医疗补助缴费。</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highlight w:val="none"/>
        </w:rPr>
      </w:pPr>
      <w:r>
        <w:rPr>
          <w:rFonts w:hint="eastAsia" w:ascii="仿宋_GB2312" w:hAnsi="仿宋_GB2312" w:eastAsia="仿宋_GB2312" w:cs="仿宋_GB2312"/>
          <w:color w:val="000000"/>
          <w:kern w:val="2"/>
          <w:sz w:val="32"/>
          <w:szCs w:val="32"/>
          <w:highlight w:val="none"/>
          <w:lang w:val="en-US" w:eastAsia="zh-CN" w:bidi="ar-SA"/>
        </w:rPr>
        <w:t>（6）住房保障支出（类）住房改革支出（款）住房公积金（项）87.79万元，</w:t>
      </w:r>
      <w:r>
        <w:rPr>
          <w:rFonts w:hint="eastAsia" w:ascii="仿宋_GB2312" w:hAnsi="仿宋_GB2312" w:eastAsia="仿宋_GB2312" w:cs="仿宋_GB2312"/>
          <w:color w:val="000000"/>
          <w:kern w:val="2"/>
          <w:sz w:val="32"/>
          <w:szCs w:val="32"/>
          <w:highlight w:val="yellow"/>
          <w:lang w:val="en-US" w:eastAsia="zh-CN" w:bidi="ar-SA"/>
        </w:rPr>
        <w:t>主要用于住房公积金。</w:t>
      </w:r>
    </w:p>
    <w:p>
      <w:pPr>
        <w:keepNext w:val="0"/>
        <w:keepLines w:val="0"/>
        <w:pageBreakBefore w:val="0"/>
        <w:kinsoku/>
        <w:wordWrap/>
        <w:overflowPunct/>
        <w:topLinePunct w:val="0"/>
        <w:bidi w:val="0"/>
        <w:snapToGrid/>
        <w:spacing w:line="560" w:lineRule="exact"/>
        <w:textAlignment w:val="auto"/>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 xml:space="preserve">    （六）关于衢州市财政国库支付中心</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一般公共预算基本支出情况说明</w:t>
      </w:r>
    </w:p>
    <w:p>
      <w:pPr>
        <w:keepNext w:val="0"/>
        <w:keepLines w:val="0"/>
        <w:pageBreakBefore w:val="0"/>
        <w:kinsoku/>
        <w:wordWrap/>
        <w:overflowPunct/>
        <w:topLinePunct w:val="0"/>
        <w:bidi w:val="0"/>
        <w:snapToGrid/>
        <w:spacing w:line="560" w:lineRule="exact"/>
        <w:ind w:firstLine="642"/>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衢州市财政国库支付中心</w:t>
      </w:r>
      <w:r>
        <w:rPr>
          <w:rFonts w:hint="eastAsia" w:ascii="仿宋_GB2312" w:eastAsia="仿宋_GB2312"/>
          <w:color w:val="000000"/>
          <w:sz w:val="32"/>
          <w:szCs w:val="32"/>
          <w:highlight w:val="none"/>
          <w:lang w:eastAsia="zh-CN"/>
        </w:rPr>
        <w:t>2025年</w:t>
      </w:r>
      <w:r>
        <w:rPr>
          <w:rFonts w:hint="eastAsia" w:ascii="仿宋_GB2312" w:eastAsia="仿宋_GB2312"/>
          <w:color w:val="000000"/>
          <w:sz w:val="32"/>
          <w:szCs w:val="32"/>
          <w:highlight w:val="none"/>
        </w:rPr>
        <w:t>一般公共预算基本支出1029.39万元，其中：</w:t>
      </w:r>
    </w:p>
    <w:p>
      <w:pPr>
        <w:keepNext w:val="0"/>
        <w:keepLines w:val="0"/>
        <w:pageBreakBefore w:val="0"/>
        <w:kinsoku/>
        <w:wordWrap/>
        <w:overflowPunct/>
        <w:topLinePunct w:val="0"/>
        <w:bidi w:val="0"/>
        <w:snapToGrid/>
        <w:spacing w:line="560" w:lineRule="exact"/>
        <w:ind w:firstLine="642"/>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人员</w:t>
      </w:r>
      <w:r>
        <w:rPr>
          <w:rFonts w:hint="eastAsia" w:ascii="仿宋_GB2312" w:eastAsia="仿宋_GB2312"/>
          <w:color w:val="000000"/>
          <w:sz w:val="32"/>
          <w:szCs w:val="32"/>
          <w:highlight w:val="none"/>
          <w:lang w:val="en-US" w:eastAsia="zh-CN"/>
        </w:rPr>
        <w:t>支出</w:t>
      </w:r>
      <w:r>
        <w:rPr>
          <w:rFonts w:hint="eastAsia" w:ascii="仿宋_GB2312" w:eastAsia="仿宋_GB2312"/>
          <w:color w:val="000000"/>
          <w:sz w:val="32"/>
          <w:szCs w:val="32"/>
          <w:highlight w:val="none"/>
        </w:rPr>
        <w:t>958.60万元，主要包括：基本工资、津贴补贴、奖金、绩效工资、机关事业单位基本养老保险缴费、职业年金缴费、职工基本医疗保险缴费、公务员医疗补助缴费、其他社会保障缴费、住房公积金、医疗费、其他工资福利支出、医疗费补助、其他对个人和家庭的补助</w:t>
      </w:r>
      <w:r>
        <w:rPr>
          <w:rFonts w:hint="eastAsia" w:ascii="仿宋_GB2312" w:eastAsia="仿宋_GB2312"/>
          <w:color w:val="000000"/>
          <w:sz w:val="32"/>
          <w:szCs w:val="32"/>
          <w:highlight w:val="none"/>
          <w:lang w:val="en-US" w:eastAsia="zh-CN"/>
        </w:rPr>
        <w:t>等</w:t>
      </w:r>
      <w:r>
        <w:rPr>
          <w:rFonts w:hint="eastAsia" w:ascii="仿宋_GB2312" w:eastAsia="仿宋_GB2312"/>
          <w:color w:val="000000"/>
          <w:sz w:val="32"/>
          <w:szCs w:val="32"/>
          <w:highlight w:val="none"/>
        </w:rPr>
        <w:t>；</w:t>
      </w:r>
    </w:p>
    <w:p>
      <w:pPr>
        <w:keepNext w:val="0"/>
        <w:keepLines w:val="0"/>
        <w:pageBreakBefore w:val="0"/>
        <w:kinsoku/>
        <w:wordWrap/>
        <w:overflowPunct/>
        <w:topLinePunct w:val="0"/>
        <w:bidi w:val="0"/>
        <w:snapToGrid/>
        <w:spacing w:line="560" w:lineRule="exact"/>
        <w:ind w:firstLine="642"/>
        <w:textAlignment w:val="auto"/>
        <w:rPr>
          <w:rFonts w:ascii="仿宋_GB2312" w:eastAsia="仿宋_GB2312"/>
          <w:color w:val="000000"/>
          <w:sz w:val="32"/>
          <w:szCs w:val="32"/>
          <w:highlight w:val="yellow"/>
        </w:rPr>
      </w:pPr>
      <w:r>
        <w:rPr>
          <w:rFonts w:hint="eastAsia" w:ascii="仿宋_GB2312" w:eastAsia="仿宋_GB2312"/>
          <w:color w:val="000000"/>
          <w:sz w:val="32"/>
          <w:szCs w:val="32"/>
          <w:highlight w:val="none"/>
          <w:lang w:val="en-US" w:eastAsia="zh-CN"/>
        </w:rPr>
        <w:t>日常</w:t>
      </w:r>
      <w:r>
        <w:rPr>
          <w:rFonts w:hint="eastAsia" w:ascii="仿宋_GB2312" w:eastAsia="仿宋_GB2312"/>
          <w:color w:val="000000"/>
          <w:sz w:val="32"/>
          <w:szCs w:val="32"/>
          <w:highlight w:val="none"/>
        </w:rPr>
        <w:t>公用</w:t>
      </w:r>
      <w:r>
        <w:rPr>
          <w:rFonts w:hint="eastAsia" w:ascii="仿宋_GB2312" w:eastAsia="仿宋_GB2312"/>
          <w:color w:val="000000"/>
          <w:sz w:val="32"/>
          <w:szCs w:val="32"/>
          <w:highlight w:val="none"/>
          <w:lang w:val="en-US" w:eastAsia="zh-CN"/>
        </w:rPr>
        <w:t>支出</w:t>
      </w:r>
      <w:r>
        <w:rPr>
          <w:rFonts w:hint="eastAsia" w:ascii="仿宋_GB2312" w:eastAsia="仿宋_GB2312"/>
          <w:color w:val="000000"/>
          <w:sz w:val="32"/>
          <w:szCs w:val="32"/>
          <w:highlight w:val="none"/>
        </w:rPr>
        <w:t>70.79万元，</w:t>
      </w:r>
      <w:r>
        <w:rPr>
          <w:rFonts w:hint="eastAsia" w:ascii="仿宋_GB2312" w:eastAsia="仿宋_GB2312"/>
          <w:color w:val="000000"/>
          <w:sz w:val="32"/>
          <w:szCs w:val="32"/>
          <w:highlight w:val="yellow"/>
        </w:rPr>
        <w:t>主要包括：、工会经费、福利费、其他交通费用</w:t>
      </w:r>
      <w:r>
        <w:rPr>
          <w:rFonts w:hint="eastAsia" w:ascii="仿宋_GB2312" w:eastAsia="仿宋_GB2312"/>
          <w:color w:val="000000"/>
          <w:sz w:val="32"/>
          <w:szCs w:val="32"/>
          <w:highlight w:val="yellow"/>
          <w:lang w:val="en-US" w:eastAsia="zh-CN"/>
        </w:rPr>
        <w:t>。</w:t>
      </w:r>
    </w:p>
    <w:p>
      <w:pPr>
        <w:keepNext w:val="0"/>
        <w:keepLines w:val="0"/>
        <w:pageBreakBefore w:val="0"/>
        <w:kinsoku/>
        <w:wordWrap/>
        <w:overflowPunct/>
        <w:topLinePunct w:val="0"/>
        <w:bidi w:val="0"/>
        <w:snapToGrid/>
        <w:spacing w:line="560" w:lineRule="exact"/>
        <w:ind w:firstLine="642"/>
        <w:textAlignment w:val="auto"/>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（七）关于衢州市财政国库支付中心</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政府性基金预算支出情况说明</w:t>
      </w:r>
    </w:p>
    <w:p>
      <w:pPr>
        <w:keepNext w:val="0"/>
        <w:keepLines w:val="0"/>
        <w:pageBreakBefore w:val="0"/>
        <w:kinsoku/>
        <w:wordWrap/>
        <w:overflowPunct/>
        <w:topLinePunct w:val="0"/>
        <w:bidi w:val="0"/>
        <w:snapToGrid/>
        <w:spacing w:line="560" w:lineRule="exact"/>
        <w:ind w:firstLine="642"/>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衢州市财政国库支付中心2025年没有使用政府性基金预算拨款安排的支出，与上年持平。</w:t>
      </w:r>
    </w:p>
    <w:p>
      <w:pPr>
        <w:keepNext w:val="0"/>
        <w:keepLines w:val="0"/>
        <w:pageBreakBefore w:val="0"/>
        <w:kinsoku/>
        <w:wordWrap/>
        <w:overflowPunct/>
        <w:topLinePunct w:val="0"/>
        <w:bidi w:val="0"/>
        <w:snapToGrid/>
        <w:spacing w:line="560" w:lineRule="exact"/>
        <w:ind w:firstLine="627" w:firstLineChars="196"/>
        <w:textAlignment w:val="auto"/>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衢州市财政国库支付中心</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pPr>
        <w:keepNext w:val="0"/>
        <w:keepLines w:val="0"/>
        <w:pageBreakBefore w:val="0"/>
        <w:kinsoku/>
        <w:wordWrap/>
        <w:overflowPunct/>
        <w:topLinePunct w:val="0"/>
        <w:bidi w:val="0"/>
        <w:snapToGrid/>
        <w:spacing w:line="560" w:lineRule="exact"/>
        <w:ind w:firstLine="642"/>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衢州市财政国库支付中心2025年没有使用国有资本经营预算拨款安排的支出，与上年持平。</w:t>
      </w:r>
    </w:p>
    <w:p>
      <w:pPr>
        <w:keepNext w:val="0"/>
        <w:keepLines w:val="0"/>
        <w:pageBreakBefore w:val="0"/>
        <w:kinsoku/>
        <w:wordWrap/>
        <w:overflowPunct/>
        <w:topLinePunct w:val="0"/>
        <w:bidi w:val="0"/>
        <w:snapToGrid/>
        <w:spacing w:line="560" w:lineRule="exact"/>
        <w:ind w:firstLine="627" w:firstLineChars="196"/>
        <w:textAlignment w:val="auto"/>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（九）关于衢州市财政国库支付中心</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sz w:val="32"/>
          <w:szCs w:val="32"/>
          <w:highlight w:val="none"/>
        </w:rPr>
        <w:t>一般公共预算</w:t>
      </w:r>
      <w:r>
        <w:rPr>
          <w:rFonts w:hint="eastAsia" w:ascii="楷体_GB2312" w:hAnsi="楷体_GB2312" w:eastAsia="楷体_GB2312" w:cs="楷体_GB2312"/>
          <w:bCs/>
          <w:color w:val="000000"/>
          <w:sz w:val="32"/>
          <w:szCs w:val="32"/>
          <w:highlight w:val="none"/>
        </w:rPr>
        <w:t>“三公”经费预算情况说明</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sz w:val="32"/>
          <w:highlight w:val="none"/>
        </w:rPr>
      </w:pPr>
      <w:r>
        <w:rPr>
          <w:rFonts w:hint="eastAsia" w:ascii="仿宋_GB2312" w:hAnsi="仿宋_GB2312" w:eastAsia="仿宋_GB2312"/>
          <w:sz w:val="32"/>
          <w:highlight w:val="none"/>
        </w:rPr>
        <w:t>衢州市财政国库支付中心</w:t>
      </w:r>
      <w:r>
        <w:rPr>
          <w:rFonts w:hint="eastAsia" w:ascii="仿宋_GB2312" w:hAnsi="仿宋_GB2312" w:eastAsia="仿宋_GB2312"/>
          <w:sz w:val="32"/>
          <w:highlight w:val="none"/>
          <w:lang w:eastAsia="zh-CN"/>
        </w:rPr>
        <w:t>2025年</w:t>
      </w:r>
      <w:r>
        <w:rPr>
          <w:rFonts w:hint="eastAsia" w:ascii="仿宋_GB2312" w:hAnsi="仿宋_GB2312" w:eastAsia="仿宋_GB2312"/>
          <w:sz w:val="32"/>
          <w:highlight w:val="none"/>
        </w:rPr>
        <w:t>“三公”经费预算数为0.00万元，</w:t>
      </w:r>
      <w:r>
        <w:rPr>
          <w:rFonts w:hint="eastAsia" w:ascii="仿宋_GB2312" w:hAnsi="仿宋_GB2312" w:eastAsia="仿宋_GB2312"/>
          <w:sz w:val="32"/>
          <w:highlight w:val="none"/>
          <w:shd w:val="clear" w:color="auto" w:fill="FFFFFF"/>
          <w:lang w:eastAsia="zh-CN"/>
        </w:rPr>
        <w:t>与上年持平，</w:t>
      </w:r>
      <w:r>
        <w:rPr>
          <w:rFonts w:hint="eastAsia" w:ascii="仿宋_GB2312" w:hAnsi="仿宋_GB2312" w:eastAsia="仿宋_GB2312"/>
          <w:sz w:val="32"/>
          <w:highlight w:val="none"/>
        </w:rPr>
        <w:t>具体如下：</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因公出国（境）费用：</w:t>
      </w:r>
      <w:r>
        <w:rPr>
          <w:rFonts w:hint="eastAsia" w:ascii="仿宋_GB2312" w:hAnsi="仿宋_GB2312" w:eastAsia="仿宋_GB2312" w:cs="仿宋_GB2312"/>
          <w:sz w:val="32"/>
          <w:szCs w:val="32"/>
          <w:highlight w:val="none"/>
        </w:rPr>
        <w:t>根据因公出国计划和实际工作需要，</w:t>
      </w:r>
      <w:r>
        <w:rPr>
          <w:rFonts w:hint="eastAsia" w:ascii="仿宋_GB2312" w:hAnsi="仿宋_GB2312" w:eastAsia="仿宋_GB2312" w:cs="仿宋_GB2312"/>
          <w:sz w:val="32"/>
          <w:szCs w:val="32"/>
          <w:highlight w:val="none"/>
          <w:lang w:eastAsia="zh-CN"/>
        </w:rPr>
        <w:t>2025年</w:t>
      </w:r>
      <w:r>
        <w:rPr>
          <w:rFonts w:hint="eastAsia" w:ascii="仿宋_GB2312" w:hAnsi="仿宋_GB2312" w:eastAsia="仿宋_GB2312" w:cs="仿宋_GB2312"/>
          <w:sz w:val="32"/>
          <w:szCs w:val="32"/>
          <w:highlight w:val="none"/>
        </w:rPr>
        <w:t>安排因公出国（境）费用预算0.00万元，</w:t>
      </w:r>
      <w:r>
        <w:rPr>
          <w:rFonts w:hint="eastAsia"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rPr>
        <w:t>上年预算数</w:t>
      </w:r>
      <w:r>
        <w:rPr>
          <w:rFonts w:hint="eastAsia" w:ascii="仿宋_GB2312" w:hAnsi="仿宋_GB2312" w:eastAsia="仿宋_GB2312"/>
          <w:sz w:val="32"/>
          <w:highlight w:val="none"/>
          <w:shd w:val="clear" w:color="auto" w:fill="FFFFFF"/>
          <w:lang w:eastAsia="zh-CN"/>
        </w:rPr>
        <w:t>持平</w:t>
      </w:r>
      <w:r>
        <w:rPr>
          <w:rFonts w:hint="eastAsia" w:ascii="仿宋_GB2312" w:hAnsi="仿宋_GB2312" w:eastAsia="仿宋_GB2312" w:cs="仿宋_GB2312"/>
          <w:sz w:val="32"/>
          <w:szCs w:val="32"/>
          <w:highlight w:val="none"/>
        </w:rPr>
        <w:t>。</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2.公务接待费：</w:t>
      </w:r>
      <w:r>
        <w:rPr>
          <w:rFonts w:hint="eastAsia" w:ascii="仿宋_GB2312" w:hAnsi="仿宋_GB2312" w:eastAsia="仿宋_GB2312" w:cs="仿宋_GB2312"/>
          <w:sz w:val="32"/>
          <w:szCs w:val="32"/>
          <w:highlight w:val="none"/>
          <w:lang w:eastAsia="zh-CN"/>
        </w:rPr>
        <w:t>2025年</w:t>
      </w:r>
      <w:r>
        <w:rPr>
          <w:rFonts w:hint="eastAsia" w:ascii="仿宋_GB2312" w:hAnsi="仿宋_GB2312" w:eastAsia="仿宋_GB2312" w:cs="仿宋_GB2312"/>
          <w:sz w:val="32"/>
          <w:szCs w:val="32"/>
          <w:highlight w:val="none"/>
        </w:rPr>
        <w:t>安排公务接待费预算0.00万元，</w:t>
      </w:r>
      <w:r>
        <w:rPr>
          <w:rFonts w:hint="eastAsia" w:ascii="仿宋_GB2312" w:hAnsi="仿宋_GB2312" w:eastAsia="仿宋_GB2312" w:cs="仿宋_GB2312"/>
          <w:sz w:val="32"/>
          <w:szCs w:val="32"/>
          <w:highlight w:val="none"/>
          <w:lang w:eastAsia="zh-CN"/>
        </w:rPr>
        <w:t>与上年预算数持平。</w:t>
      </w:r>
    </w:p>
    <w:p>
      <w:pPr>
        <w:pStyle w:val="14"/>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b/>
          <w:bCs/>
          <w:sz w:val="32"/>
          <w:szCs w:val="32"/>
          <w:highlight w:val="none"/>
        </w:rPr>
      </w:pPr>
      <w:r>
        <w:rPr>
          <w:rFonts w:hint="eastAsia" w:ascii="仿宋_GB2312" w:eastAsia="仿宋_GB2312"/>
          <w:sz w:val="32"/>
          <w:szCs w:val="32"/>
          <w:highlight w:val="none"/>
        </w:rPr>
        <w:t>3.公务用车购置及运行维护费：</w:t>
      </w:r>
      <w:r>
        <w:rPr>
          <w:rFonts w:hint="eastAsia" w:ascii="仿宋_GB2312" w:eastAsia="仿宋_GB2312"/>
          <w:sz w:val="32"/>
          <w:szCs w:val="32"/>
          <w:highlight w:val="none"/>
          <w:lang w:eastAsia="zh-CN"/>
        </w:rPr>
        <w:t>2025年</w:t>
      </w:r>
      <w:r>
        <w:rPr>
          <w:rFonts w:hint="eastAsia" w:ascii="仿宋_GB2312" w:eastAsia="仿宋_GB2312"/>
          <w:sz w:val="32"/>
          <w:szCs w:val="32"/>
          <w:highlight w:val="none"/>
        </w:rPr>
        <w:t>安排公务用车购置及运行维护费预算0.00万元，</w:t>
      </w:r>
      <w:r>
        <w:rPr>
          <w:rFonts w:hint="eastAsia" w:ascii="仿宋_GB2312" w:eastAsia="仿宋_GB2312"/>
          <w:sz w:val="32"/>
          <w:szCs w:val="32"/>
          <w:highlight w:val="none"/>
          <w:lang w:eastAsia="zh-CN"/>
        </w:rPr>
        <w:t>与上年预算数持平</w:t>
      </w:r>
      <w:r>
        <w:rPr>
          <w:rFonts w:hint="eastAsia" w:ascii="仿宋_GB2312" w:eastAsia="仿宋_GB2312"/>
          <w:sz w:val="32"/>
          <w:szCs w:val="32"/>
          <w:highlight w:val="none"/>
        </w:rPr>
        <w:t>。其中，公务用车购置支出0.00万元（含购置税等附加费用），主要用于经批准购置的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上年预算数</w:t>
      </w:r>
      <w:r>
        <w:rPr>
          <w:rFonts w:hint="eastAsia" w:ascii="仿宋_GB2312" w:eastAsia="仿宋_GB2312"/>
          <w:sz w:val="32"/>
          <w:szCs w:val="32"/>
          <w:highlight w:val="none"/>
          <w:lang w:eastAsia="zh-CN"/>
        </w:rPr>
        <w:t>持平，</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本单位无公务用车购置安排</w:t>
      </w:r>
      <w:r>
        <w:rPr>
          <w:rFonts w:hint="eastAsia" w:ascii="仿宋_GB2312" w:eastAsia="仿宋_GB2312"/>
          <w:sz w:val="32"/>
          <w:szCs w:val="32"/>
          <w:highlight w:val="none"/>
        </w:rPr>
        <w:t>；公务用车运行维护费支出0.00万元，主要用于公务用车燃料费、新能源汽车充电费、维修费、过桥过路费、保险费、安全奖励费用等支出。</w:t>
      </w:r>
      <w:r>
        <w:rPr>
          <w:rFonts w:hint="eastAsia" w:ascii="仿宋_GB2312" w:eastAsia="仿宋_GB2312"/>
          <w:sz w:val="32"/>
          <w:szCs w:val="32"/>
          <w:highlight w:val="none"/>
          <w:lang w:eastAsia="zh-CN"/>
        </w:rPr>
        <w:t>与上年预算数持平，主要原因是本单位无公务用车运行维护费支出安排</w:t>
      </w:r>
      <w:r>
        <w:rPr>
          <w:rFonts w:hint="eastAsia" w:ascii="仿宋_GB2312" w:eastAsia="仿宋_GB2312"/>
          <w:sz w:val="32"/>
          <w:szCs w:val="32"/>
          <w:highlight w:val="none"/>
        </w:rPr>
        <w:t>。</w:t>
      </w:r>
    </w:p>
    <w:p>
      <w:pPr>
        <w:keepNext w:val="0"/>
        <w:keepLines w:val="0"/>
        <w:pageBreakBefore w:val="0"/>
        <w:kinsoku/>
        <w:wordWrap/>
        <w:overflowPunct/>
        <w:topLinePunct w:val="0"/>
        <w:bidi w:val="0"/>
        <w:snapToGrid/>
        <w:spacing w:line="560" w:lineRule="exact"/>
        <w:ind w:firstLine="627" w:firstLineChars="196"/>
        <w:textAlignment w:val="auto"/>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（十）其他重要事项的情况说明</w:t>
      </w:r>
    </w:p>
    <w:p>
      <w:pPr>
        <w:keepNext w:val="0"/>
        <w:keepLines w:val="0"/>
        <w:pageBreakBefore w:val="0"/>
        <w:kinsoku/>
        <w:wordWrap/>
        <w:overflowPunct/>
        <w:topLinePunct w:val="0"/>
        <w:bidi w:val="0"/>
        <w:snapToGrid/>
        <w:spacing w:line="560" w:lineRule="exact"/>
        <w:ind w:firstLine="642"/>
        <w:textAlignment w:val="auto"/>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1.机关运行经费</w:t>
      </w:r>
    </w:p>
    <w:p>
      <w:pPr>
        <w:pStyle w:val="14"/>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sz w:val="32"/>
          <w:szCs w:val="32"/>
          <w:highlight w:val="yellow"/>
        </w:rPr>
      </w:pPr>
      <w:r>
        <w:rPr>
          <w:rFonts w:hint="eastAsia" w:ascii="仿宋_GB2312" w:eastAsia="仿宋_GB2312"/>
          <w:sz w:val="32"/>
          <w:szCs w:val="32"/>
          <w:highlight w:val="none"/>
          <w:lang w:eastAsia="zh-CN"/>
        </w:rPr>
        <w:t>2025年</w:t>
      </w:r>
      <w:r>
        <w:rPr>
          <w:rFonts w:hint="eastAsia" w:ascii="仿宋_GB2312" w:eastAsia="仿宋_GB2312"/>
          <w:sz w:val="32"/>
          <w:szCs w:val="32"/>
          <w:highlight w:val="none"/>
        </w:rPr>
        <w:t>衢州市财政国库支付中心</w:t>
      </w:r>
      <w:r>
        <w:rPr>
          <w:rFonts w:hint="eastAsia" w:ascii="仿宋_GB2312" w:eastAsia="仿宋_GB2312"/>
          <w:color w:val="000000"/>
          <w:sz w:val="32"/>
          <w:szCs w:val="32"/>
          <w:highlight w:val="yellow"/>
          <w:lang w:val="en-US" w:eastAsia="zh-CN"/>
        </w:rPr>
        <w:t>1家</w:t>
      </w:r>
      <w:r>
        <w:rPr>
          <w:rFonts w:hint="eastAsia" w:ascii="仿宋_GB2312" w:eastAsia="仿宋_GB2312"/>
          <w:color w:val="000000"/>
          <w:sz w:val="32"/>
          <w:szCs w:val="32"/>
          <w:highlight w:val="yellow"/>
        </w:rPr>
        <w:t>参公事业单位的</w:t>
      </w:r>
      <w:r>
        <w:rPr>
          <w:rFonts w:hint="eastAsia" w:ascii="仿宋_GB2312" w:eastAsia="仿宋_GB2312"/>
          <w:color w:val="000000"/>
          <w:sz w:val="32"/>
          <w:szCs w:val="32"/>
          <w:highlight w:val="none"/>
        </w:rPr>
        <w:t>机关运行经费财政拨款预算70.79万元，比上年预算增加</w:t>
      </w:r>
      <w:r>
        <w:rPr>
          <w:rFonts w:hint="eastAsia" w:ascii="仿宋_GB2312" w:eastAsia="仿宋_GB2312"/>
          <w:color w:val="000000"/>
          <w:sz w:val="32"/>
          <w:szCs w:val="32"/>
          <w:highlight w:val="none"/>
          <w:lang w:val="en-US" w:eastAsia="zh-CN"/>
        </w:rPr>
        <w:t>39.19</w:t>
      </w:r>
      <w:r>
        <w:rPr>
          <w:rFonts w:hint="eastAsia" w:ascii="仿宋_GB2312" w:eastAsia="仿宋_GB2312"/>
          <w:sz w:val="32"/>
          <w:szCs w:val="32"/>
          <w:highlight w:val="none"/>
        </w:rPr>
        <w:t>万元</w:t>
      </w:r>
      <w:r>
        <w:rPr>
          <w:rFonts w:hint="eastAsia" w:ascii="仿宋_GB2312" w:hAnsi="仿宋_GB2312" w:eastAsia="仿宋_GB2312"/>
          <w:kern w:val="2"/>
          <w:sz w:val="32"/>
          <w:szCs w:val="20"/>
          <w:highlight w:val="none"/>
        </w:rPr>
        <w:t>，增长</w:t>
      </w:r>
      <w:r>
        <w:rPr>
          <w:rFonts w:hint="eastAsia" w:ascii="仿宋_GB2312" w:hAnsi="仿宋_GB2312" w:eastAsia="仿宋_GB2312"/>
          <w:kern w:val="2"/>
          <w:sz w:val="32"/>
          <w:szCs w:val="20"/>
          <w:highlight w:val="none"/>
          <w:lang w:val="en-US" w:eastAsia="zh-CN"/>
        </w:rPr>
        <w:t>124.0</w:t>
      </w:r>
      <w:r>
        <w:rPr>
          <w:rFonts w:hint="eastAsia" w:ascii="仿宋_GB2312" w:hAnsi="仿宋_GB2312" w:eastAsia="仿宋_GB2312"/>
          <w:kern w:val="2"/>
          <w:sz w:val="32"/>
          <w:szCs w:val="20"/>
          <w:highlight w:val="none"/>
        </w:rPr>
        <w:t>%，</w:t>
      </w:r>
      <w:r>
        <w:rPr>
          <w:rFonts w:hint="eastAsia" w:ascii="仿宋_GB2312" w:hAnsi="仿宋_GB2312" w:eastAsia="仿宋_GB2312"/>
          <w:kern w:val="2"/>
          <w:sz w:val="32"/>
          <w:szCs w:val="20"/>
          <w:highlight w:val="yellow"/>
        </w:rPr>
        <w:t>主要是</w:t>
      </w:r>
      <w:r>
        <w:rPr>
          <w:rFonts w:hint="eastAsia" w:ascii="仿宋_GB2312" w:hAnsi="仿宋_GB2312" w:eastAsia="仿宋_GB2312"/>
          <w:kern w:val="2"/>
          <w:sz w:val="32"/>
          <w:szCs w:val="20"/>
          <w:highlight w:val="yellow"/>
          <w:lang w:eastAsia="zh-CN"/>
        </w:rPr>
        <w:t>本年度安排运行经费财政拨款增加</w:t>
      </w:r>
      <w:r>
        <w:rPr>
          <w:rFonts w:hint="eastAsia" w:ascii="仿宋_GB2312" w:eastAsia="仿宋_GB2312"/>
          <w:color w:val="000000"/>
          <w:sz w:val="32"/>
          <w:szCs w:val="32"/>
          <w:highlight w:val="yellow"/>
        </w:rPr>
        <w:t>。</w:t>
      </w:r>
    </w:p>
    <w:p>
      <w:pPr>
        <w:pStyle w:val="14"/>
        <w:keepNext w:val="0"/>
        <w:keepLines w:val="0"/>
        <w:pageBreakBefore w:val="0"/>
        <w:numPr>
          <w:ilvl w:val="0"/>
          <w:numId w:val="2"/>
        </w:numPr>
        <w:kinsoku/>
        <w:wordWrap/>
        <w:overflowPunct/>
        <w:topLinePunct w:val="0"/>
        <w:bidi w:val="0"/>
        <w:snapToGrid/>
        <w:spacing w:line="560" w:lineRule="exact"/>
        <w:ind w:firstLine="600"/>
        <w:textAlignment w:val="auto"/>
        <w:rPr>
          <w:rFonts w:ascii="仿宋_GB2312" w:eastAsia="仿宋_GB2312"/>
          <w:b/>
          <w:bCs/>
          <w:sz w:val="32"/>
          <w:szCs w:val="32"/>
          <w:highlight w:val="none"/>
        </w:rPr>
      </w:pPr>
      <w:r>
        <w:rPr>
          <w:rFonts w:hint="eastAsia" w:ascii="仿宋_GB2312" w:eastAsia="仿宋_GB2312"/>
          <w:b/>
          <w:bCs/>
          <w:sz w:val="32"/>
          <w:szCs w:val="32"/>
          <w:highlight w:val="none"/>
        </w:rPr>
        <w:t>政府采购情况。</w:t>
      </w:r>
    </w:p>
    <w:p>
      <w:pPr>
        <w:pStyle w:val="14"/>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2025年</w:t>
      </w:r>
      <w:r>
        <w:rPr>
          <w:rFonts w:hint="eastAsia" w:ascii="仿宋_GB2312" w:eastAsia="仿宋_GB2312"/>
          <w:sz w:val="32"/>
          <w:szCs w:val="32"/>
          <w:highlight w:val="none"/>
        </w:rPr>
        <w:t>衢州市财政国库支付中心</w:t>
      </w:r>
      <w:r>
        <w:rPr>
          <w:rFonts w:hint="eastAsia" w:ascii="仿宋_GB2312" w:eastAsia="仿宋_GB2312"/>
          <w:color w:val="000000"/>
          <w:sz w:val="32"/>
          <w:szCs w:val="32"/>
          <w:highlight w:val="none"/>
        </w:rPr>
        <w:t>各单位政府采购预算总额</w:t>
      </w:r>
      <w:r>
        <w:rPr>
          <w:rFonts w:ascii="仿宋_GB2312" w:eastAsia="仿宋_GB2312"/>
          <w:color w:val="000000"/>
          <w:sz w:val="32"/>
          <w:szCs w:val="32"/>
          <w:highlight w:val="none"/>
        </w:rPr>
        <w:t>0.00</w:t>
      </w:r>
      <w:r>
        <w:rPr>
          <w:rFonts w:hint="eastAsia" w:ascii="仿宋_GB2312" w:eastAsia="仿宋_GB2312"/>
          <w:color w:val="000000"/>
          <w:sz w:val="32"/>
          <w:szCs w:val="32"/>
          <w:highlight w:val="none"/>
        </w:rPr>
        <w:t>万元，其中：政府采购货物预算0.00万元、政府采购工程预算0.00万元、政府采购服务预算</w:t>
      </w:r>
      <w:r>
        <w:rPr>
          <w:rFonts w:ascii="仿宋_GB2312" w:eastAsia="仿宋_GB2312"/>
          <w:color w:val="000000"/>
          <w:sz w:val="32"/>
          <w:szCs w:val="32"/>
          <w:highlight w:val="none"/>
        </w:rPr>
        <w:t>0.00</w:t>
      </w:r>
      <w:r>
        <w:rPr>
          <w:rFonts w:hint="eastAsia" w:ascii="仿宋_GB2312" w:eastAsia="仿宋_GB2312"/>
          <w:color w:val="000000"/>
          <w:sz w:val="32"/>
          <w:szCs w:val="32"/>
          <w:highlight w:val="none"/>
        </w:rPr>
        <w:t>万元。</w:t>
      </w:r>
    </w:p>
    <w:p>
      <w:pPr>
        <w:pStyle w:val="14"/>
        <w:keepNext w:val="0"/>
        <w:keepLines w:val="0"/>
        <w:pageBreakBefore w:val="0"/>
        <w:kinsoku/>
        <w:wordWrap/>
        <w:overflowPunct/>
        <w:topLinePunct w:val="0"/>
        <w:bidi w:val="0"/>
        <w:snapToGrid/>
        <w:spacing w:line="560" w:lineRule="exact"/>
        <w:ind w:firstLine="642"/>
        <w:textAlignment w:val="auto"/>
        <w:rPr>
          <w:rFonts w:ascii="仿宋_GB2312" w:eastAsia="仿宋_GB2312"/>
          <w:sz w:val="32"/>
          <w:szCs w:val="32"/>
          <w:highlight w:val="none"/>
        </w:rPr>
      </w:pPr>
      <w:r>
        <w:rPr>
          <w:rFonts w:hint="eastAsia" w:ascii="仿宋_GB2312" w:eastAsia="仿宋_GB2312"/>
          <w:b/>
          <w:bCs/>
          <w:sz w:val="32"/>
          <w:szCs w:val="32"/>
          <w:highlight w:val="none"/>
        </w:rPr>
        <w:t>3.国有资产占有使用情况。</w:t>
      </w:r>
    </w:p>
    <w:p>
      <w:pPr>
        <w:keepNext w:val="0"/>
        <w:keepLines w:val="0"/>
        <w:pageBreakBefore w:val="0"/>
        <w:kinsoku/>
        <w:wordWrap/>
        <w:overflowPunct/>
        <w:topLinePunct w:val="0"/>
        <w:bidi w:val="0"/>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pacing w:val="6"/>
          <w:sz w:val="32"/>
          <w:szCs w:val="32"/>
          <w:highlight w:val="none"/>
        </w:rPr>
        <w:t>截至202</w:t>
      </w:r>
      <w:r>
        <w:rPr>
          <w:rFonts w:hint="eastAsia" w:ascii="仿宋_GB2312" w:hAnsi="仿宋_GB2312" w:eastAsia="仿宋_GB2312" w:cs="仿宋_GB2312"/>
          <w:spacing w:val="6"/>
          <w:sz w:val="32"/>
          <w:szCs w:val="32"/>
          <w:highlight w:val="none"/>
          <w:lang w:val="en-US" w:eastAsia="zh-CN"/>
        </w:rPr>
        <w:t>4</w:t>
      </w:r>
      <w:r>
        <w:rPr>
          <w:rFonts w:hint="eastAsia" w:ascii="仿宋_GB2312" w:hAnsi="仿宋_GB2312" w:eastAsia="仿宋_GB2312" w:cs="仿宋_GB2312"/>
          <w:spacing w:val="6"/>
          <w:sz w:val="32"/>
          <w:szCs w:val="32"/>
          <w:highlight w:val="none"/>
        </w:rPr>
        <w:t>年12月31日，所属各预算单位共有车辆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辆，其中，应急保障用车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辆、老干部服务用车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辆、执法执勤用车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辆、特种专业技术用车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辆、行政执法专用车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辆、其他用车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辆。单位价值100万元以上设备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 xml:space="preserve">台（套）。 </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2025年</w:t>
      </w:r>
      <w:r>
        <w:rPr>
          <w:rFonts w:ascii="仿宋_GB2312" w:hAnsi="仿宋_GB2312" w:eastAsia="仿宋_GB2312" w:cs="仿宋_GB2312"/>
          <w:sz w:val="32"/>
          <w:szCs w:val="32"/>
          <w:highlight w:val="none"/>
        </w:rPr>
        <w:t>部门预算未安排购置车辆、单位价值100万元以上设备</w:t>
      </w:r>
      <w:r>
        <w:rPr>
          <w:rFonts w:hint="eastAsia" w:ascii="仿宋_GB2312" w:hAnsi="仿宋_GB2312" w:eastAsia="仿宋_GB2312" w:cs="仿宋_GB2312"/>
          <w:sz w:val="32"/>
          <w:szCs w:val="32"/>
          <w:highlight w:val="none"/>
        </w:rPr>
        <w:t>。</w:t>
      </w:r>
    </w:p>
    <w:p>
      <w:pPr>
        <w:pStyle w:val="14"/>
        <w:keepNext w:val="0"/>
        <w:keepLines w:val="0"/>
        <w:pageBreakBefore w:val="0"/>
        <w:kinsoku/>
        <w:wordWrap/>
        <w:overflowPunct/>
        <w:topLinePunct w:val="0"/>
        <w:bidi w:val="0"/>
        <w:snapToGrid/>
        <w:spacing w:line="560" w:lineRule="exact"/>
        <w:textAlignment w:val="auto"/>
        <w:rPr>
          <w:rFonts w:ascii="仿宋_GB2312" w:eastAsia="仿宋_GB2312"/>
          <w:b/>
          <w:bCs/>
          <w:sz w:val="32"/>
          <w:szCs w:val="32"/>
          <w:highlight w:val="none"/>
        </w:rPr>
      </w:pPr>
      <w:r>
        <w:rPr>
          <w:rFonts w:hint="eastAsia" w:ascii="仿宋_GB2312" w:eastAsia="仿宋_GB2312"/>
          <w:b/>
          <w:bCs/>
          <w:sz w:val="32"/>
          <w:szCs w:val="32"/>
          <w:highlight w:val="none"/>
        </w:rPr>
        <w:t xml:space="preserve">    4.预算绩效情况说明。</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2025年</w:t>
      </w:r>
      <w:r>
        <w:rPr>
          <w:rFonts w:ascii="仿宋_GB2312" w:hAnsi="仿宋_GB2312" w:eastAsia="仿宋_GB2312" w:cs="仿宋_GB2312"/>
          <w:sz w:val="32"/>
          <w:szCs w:val="32"/>
          <w:highlight w:val="none"/>
        </w:rPr>
        <w:t>衢州市财政国库支付中心其他运转类项目和特定目标类项目均实行绩效目标管理，共计2个一级项目，涉及当年资金10.65万元。同时，将按照相关制度规定开展绩效自评。一级项目绩效目标表，详见“</w:t>
      </w:r>
      <w:r>
        <w:rPr>
          <w:rFonts w:hint="eastAsia" w:ascii="仿宋_GB2312" w:hAnsi="仿宋_GB2312" w:eastAsia="仿宋_GB2312" w:cs="仿宋_GB2312"/>
          <w:sz w:val="32"/>
          <w:szCs w:val="32"/>
          <w:highlight w:val="none"/>
        </w:rPr>
        <w:t>单位</w:t>
      </w:r>
      <w:r>
        <w:rPr>
          <w:rFonts w:ascii="仿宋_GB2312" w:hAnsi="仿宋_GB2312" w:eastAsia="仿宋_GB2312" w:cs="仿宋_GB2312"/>
          <w:sz w:val="32"/>
          <w:szCs w:val="32"/>
          <w:highlight w:val="none"/>
        </w:rPr>
        <w:t>项目支出绩效表”</w:t>
      </w:r>
      <w:r>
        <w:rPr>
          <w:rFonts w:hint="eastAsia" w:ascii="仿宋_GB2312" w:hAnsi="仿宋_GB2312" w:eastAsia="仿宋_GB2312" w:cs="仿宋_GB2312"/>
          <w:sz w:val="32"/>
          <w:szCs w:val="32"/>
          <w:highlight w:val="none"/>
        </w:rPr>
        <w:t>。</w:t>
      </w:r>
    </w:p>
    <w:p>
      <w:pPr>
        <w:pStyle w:val="14"/>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s="黑体"/>
          <w:bCs/>
          <w:kern w:val="2"/>
          <w:sz w:val="32"/>
          <w:szCs w:val="32"/>
          <w:highlight w:val="none"/>
        </w:rPr>
      </w:pPr>
      <w:r>
        <w:rPr>
          <w:rFonts w:hint="eastAsia" w:ascii="黑体" w:hAnsi="黑体" w:eastAsia="黑体" w:cs="黑体"/>
          <w:bCs/>
          <w:kern w:val="2"/>
          <w:sz w:val="32"/>
          <w:szCs w:val="32"/>
          <w:highlight w:val="none"/>
        </w:rPr>
        <w:t>三、名词解释</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1.财政拨款收入：本级财政部门当年拨付的财政预算资金，包括一般公共预算财政拨款</w:t>
      </w:r>
      <w:r>
        <w:rPr>
          <w:rFonts w:hint="eastAsia" w:ascii="仿宋_GB2312" w:eastAsia="仿宋_GB2312"/>
          <w:color w:val="000000"/>
          <w:sz w:val="32"/>
          <w:szCs w:val="32"/>
          <w:highlight w:val="none"/>
        </w:rPr>
        <w:t>、</w:t>
      </w:r>
      <w:r>
        <w:rPr>
          <w:rFonts w:hint="eastAsia" w:ascii="仿宋_GB2312" w:hAnsi="仿宋_GB2312" w:eastAsia="仿宋_GB2312" w:cs="仿宋_GB2312"/>
          <w:sz w:val="32"/>
          <w:szCs w:val="32"/>
          <w:highlight w:val="none"/>
        </w:rPr>
        <w:t>政府性基金预算和国有资本经营预算财政拨款。</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2.财政专户管理资金:教育收费作为本部门的事业收入，纳入财政专户管理的资金。</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3.事业收入：事业单位开展专业业务活动及辅助活动所取得的收入，不含财政专户管理资金收入。</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4.事业单位经营收入：事业单位在专业业务活动及辅助活动之外开展非独立核算经营活动取得的收入。</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其他收入：预算单位在“一般公共预算”“政府性基金预算”“国有资本经营预算”“财政专户管理资金”“事业收入”“事业单位经营收入”“上级补助收入”和“附属单位上缴收入”等之外取得的各项收入。</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6.上年结转结余：包括财政拨款结转结余、财政专户管理结转结余和单位资金结转结余。</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7.基本支出：是预算单位为保障其正常运转，完成日常工作任务所发生的支出，包括人员支出和日常公用支出。</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8.项目支出：是预算单位为完成其特定的行政工作任务或事业发展目标所发生的支出。</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.“三公”经费：纳入财政预决算管理的“三公”经费，是指部门用一般公共预算财政拨款安排的因公出国（境）费</w:t>
      </w:r>
      <w:r>
        <w:rPr>
          <w:rFonts w:hint="eastAsia" w:ascii="仿宋_GB2312" w:hAnsi="仿宋_GB2312" w:eastAsia="仿宋_GB2312" w:cs="仿宋_GB2312"/>
          <w:sz w:val="32"/>
          <w:szCs w:val="32"/>
          <w:highlight w:val="none"/>
          <w:lang w:val="en-US" w:eastAsia="zh-CN"/>
        </w:rPr>
        <w:t>用</w:t>
      </w:r>
      <w:r>
        <w:rPr>
          <w:rFonts w:hint="eastAsia" w:ascii="仿宋_GB2312" w:hAnsi="仿宋_GB2312" w:eastAsia="仿宋_GB2312" w:cs="仿宋_GB2312"/>
          <w:sz w:val="32"/>
          <w:szCs w:val="32"/>
          <w:highlight w:val="none"/>
        </w:rPr>
        <w:t>、公务用车购置及运行费和公务接待费。其中，因公出国（境）费</w:t>
      </w:r>
      <w:r>
        <w:rPr>
          <w:rFonts w:hint="eastAsia" w:ascii="仿宋_GB2312" w:hAnsi="仿宋_GB2312" w:eastAsia="仿宋_GB2312" w:cs="仿宋_GB2312"/>
          <w:sz w:val="32"/>
          <w:szCs w:val="32"/>
          <w:highlight w:val="none"/>
          <w:lang w:val="en-US" w:eastAsia="zh-CN"/>
        </w:rPr>
        <w:t>用</w:t>
      </w:r>
      <w:r>
        <w:rPr>
          <w:rFonts w:hint="eastAsia" w:ascii="仿宋_GB2312" w:hAnsi="仿宋_GB2312" w:eastAsia="仿宋_GB2312" w:cs="仿宋_GB2312"/>
          <w:sz w:val="32"/>
          <w:szCs w:val="32"/>
          <w:highlight w:val="none"/>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.机关运行经费：指为保障行政单位（含参照公务员法管理的事业单位）运行用于购买货物和服务的各项资金，包括办公</w:t>
      </w:r>
      <w:r>
        <w:rPr>
          <w:rFonts w:hint="eastAsia" w:ascii="仿宋_GB2312" w:hAnsi="仿宋_GB2312" w:eastAsia="仿宋_GB2312" w:cs="仿宋_GB2312"/>
          <w:sz w:val="32"/>
          <w:szCs w:val="32"/>
          <w:highlight w:val="none"/>
          <w:lang w:val="en-US" w:eastAsia="zh-CN"/>
        </w:rPr>
        <w:t>费、</w:t>
      </w:r>
      <w:r>
        <w:rPr>
          <w:rFonts w:hint="eastAsia" w:ascii="仿宋_GB2312" w:hAnsi="仿宋_GB2312" w:eastAsia="仿宋_GB2312" w:cs="仿宋_GB2312"/>
          <w:sz w:val="32"/>
          <w:szCs w:val="32"/>
          <w:highlight w:val="none"/>
        </w:rPr>
        <w:t>印刷费、邮电费、差旅费、会议费、福利费、日常维修费、专用材料</w:t>
      </w:r>
      <w:r>
        <w:rPr>
          <w:rFonts w:hint="eastAsia" w:ascii="仿宋_GB2312" w:hAnsi="仿宋_GB2312" w:eastAsia="仿宋_GB2312" w:cs="仿宋_GB2312"/>
          <w:sz w:val="32"/>
          <w:szCs w:val="32"/>
          <w:highlight w:val="none"/>
          <w:lang w:val="en-US" w:eastAsia="zh-CN"/>
        </w:rPr>
        <w:t>费</w:t>
      </w:r>
      <w:r>
        <w:rPr>
          <w:rFonts w:hint="eastAsia" w:ascii="仿宋_GB2312" w:hAnsi="仿宋_GB2312" w:eastAsia="仿宋_GB2312" w:cs="仿宋_GB2312"/>
          <w:sz w:val="32"/>
          <w:szCs w:val="32"/>
          <w:highlight w:val="none"/>
        </w:rPr>
        <w:t>及</w:t>
      </w:r>
      <w:r>
        <w:rPr>
          <w:rFonts w:hint="eastAsia" w:ascii="仿宋_GB2312" w:hAnsi="仿宋_GB2312" w:eastAsia="仿宋_GB2312" w:cs="仿宋_GB2312"/>
          <w:sz w:val="32"/>
          <w:szCs w:val="32"/>
          <w:highlight w:val="none"/>
          <w:lang w:val="en-US" w:eastAsia="zh-CN"/>
        </w:rPr>
        <w:t>办公</w:t>
      </w:r>
      <w:r>
        <w:rPr>
          <w:rFonts w:hint="eastAsia" w:ascii="仿宋_GB2312" w:hAnsi="仿宋_GB2312" w:eastAsia="仿宋_GB2312" w:cs="仿宋_GB2312"/>
          <w:sz w:val="32"/>
          <w:szCs w:val="32"/>
          <w:highlight w:val="none"/>
        </w:rPr>
        <w:t>设备购置费、办公用房水电费、办公用房取暖费、办公用房物业管理费、公务用车运行维护费以及其他费用。</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一般公共服务支出（类）财政事务（款）行政运行（项）</w:t>
      </w:r>
      <w:r>
        <w:rPr>
          <w:rFonts w:hint="eastAsia" w:ascii="仿宋_GB2312" w:hAnsi="仿宋_GB2312" w:eastAsia="仿宋_GB2312" w:cs="仿宋_GB2312"/>
          <w:sz w:val="32"/>
          <w:szCs w:val="32"/>
          <w:highlight w:val="none"/>
          <w:lang w:eastAsia="zh-CN"/>
        </w:rPr>
        <w:t>：指反映行政单位（包括实行公务员管理的事业单位）的基本支出。</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社会保障和就业支出（类）行政事业单位养老支出（款）机关事业单位基本养老保险缴费支出（项）</w:t>
      </w:r>
      <w:r>
        <w:rPr>
          <w:rFonts w:hint="eastAsia" w:ascii="仿宋_GB2312" w:hAnsi="仿宋_GB2312" w:eastAsia="仿宋_GB2312" w:cs="仿宋_GB2312"/>
          <w:sz w:val="32"/>
          <w:szCs w:val="32"/>
          <w:highlight w:val="none"/>
          <w:lang w:eastAsia="zh-CN"/>
        </w:rPr>
        <w:t>：指反映机关事业单位实施养老保险制度由单位缴纳的基本养老保险费支出。</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社会保障和就业支出（类）行政事业单位养老支出（款）机关事业单位职业年金缴费支出（项）</w:t>
      </w:r>
      <w:r>
        <w:rPr>
          <w:rFonts w:hint="eastAsia" w:ascii="仿宋_GB2312" w:hAnsi="仿宋_GB2312" w:eastAsia="仿宋_GB2312" w:cs="仿宋_GB2312"/>
          <w:sz w:val="32"/>
          <w:szCs w:val="32"/>
          <w:highlight w:val="none"/>
          <w:lang w:eastAsia="zh-CN"/>
        </w:rPr>
        <w:t>：指反映机关事业单位实施养老保险制度由单位实际缴纳的职业年金支出</w:t>
      </w:r>
      <w:bookmarkStart w:id="0" w:name="_GoBack"/>
      <w:r>
        <w:rPr>
          <w:rFonts w:hint="eastAsia" w:ascii="仿宋_GB2312" w:hAnsi="仿宋_GB2312" w:eastAsia="仿宋_GB2312" w:cs="仿宋_GB2312"/>
          <w:sz w:val="32"/>
          <w:szCs w:val="32"/>
          <w:highlight w:val="yellow"/>
          <w:lang w:eastAsia="zh-CN"/>
        </w:rPr>
        <w:t>（含职业年金补记支出）。</w:t>
      </w:r>
    </w:p>
    <w:bookmarkEnd w:id="0"/>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社会保障和就业支出（类）行政事业单位养老支出（款）其他行政事业单位养老支出（项）</w:t>
      </w:r>
      <w:r>
        <w:rPr>
          <w:rFonts w:hint="eastAsia" w:ascii="仿宋_GB2312" w:hAnsi="仿宋_GB2312" w:eastAsia="仿宋_GB2312" w:cs="仿宋_GB2312"/>
          <w:sz w:val="32"/>
          <w:szCs w:val="32"/>
          <w:highlight w:val="none"/>
          <w:lang w:eastAsia="zh-CN"/>
        </w:rPr>
        <w:t>：指反映其他用于行政事业单位养老方面的支出。</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卫生健康支出（类）行政事业单位医疗（款）其他行政事业单位医疗支出（项）</w:t>
      </w:r>
      <w:r>
        <w:rPr>
          <w:rFonts w:hint="eastAsia" w:ascii="仿宋_GB2312" w:hAnsi="仿宋_GB2312" w:eastAsia="仿宋_GB2312" w:cs="仿宋_GB2312"/>
          <w:sz w:val="32"/>
          <w:szCs w:val="32"/>
          <w:highlight w:val="none"/>
          <w:lang w:eastAsia="zh-CN"/>
        </w:rPr>
        <w:t>：指反映其他用于行政事业单位医疗方面的支出。</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住房保障支出（类）住房改革支出（款）住房公积金（项）</w:t>
      </w:r>
      <w:r>
        <w:rPr>
          <w:rFonts w:hint="eastAsia" w:ascii="仿宋_GB2312" w:hAnsi="仿宋_GB2312" w:eastAsia="仿宋_GB2312" w:cs="仿宋_GB2312"/>
          <w:sz w:val="32"/>
          <w:szCs w:val="32"/>
          <w:highlight w:val="none"/>
          <w:lang w:eastAsia="zh-CN"/>
        </w:rPr>
        <w:t>：指反映行政事业单位按人力资源和社会保障部、财政部规定的基本工资和津贴贴以及规定比例为职工缴纳的住房公积金。</w:t>
      </w:r>
    </w:p>
    <w:p>
      <w:pPr>
        <w:spacing w:line="520" w:lineRule="exact"/>
        <w:ind w:firstLine="640" w:firstLineChars="200"/>
        <w:rPr>
          <w:rFonts w:hint="eastAsia" w:ascii="仿宋_GB2312" w:hAnsi="仿宋_GB2312" w:eastAsia="仿宋_GB2312" w:cs="仿宋_GB2312"/>
          <w:sz w:val="32"/>
          <w:szCs w:val="32"/>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1495A"/>
    <w:rsid w:val="07487AC1"/>
    <w:rsid w:val="07623DA7"/>
    <w:rsid w:val="081119C7"/>
    <w:rsid w:val="08DE4DFD"/>
    <w:rsid w:val="0A1D1E06"/>
    <w:rsid w:val="0A4C7CCD"/>
    <w:rsid w:val="0B386398"/>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32036"/>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A96E8B"/>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8F6CA4"/>
    <w:rsid w:val="2CE33635"/>
    <w:rsid w:val="2D391980"/>
    <w:rsid w:val="2D7C6F9A"/>
    <w:rsid w:val="2ED263DE"/>
    <w:rsid w:val="2F312BD6"/>
    <w:rsid w:val="2F4F315F"/>
    <w:rsid w:val="2F5260FE"/>
    <w:rsid w:val="2F78760A"/>
    <w:rsid w:val="30780EC9"/>
    <w:rsid w:val="309A0801"/>
    <w:rsid w:val="315A0567"/>
    <w:rsid w:val="31651329"/>
    <w:rsid w:val="31C46552"/>
    <w:rsid w:val="31EC7268"/>
    <w:rsid w:val="32691E0F"/>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3EC92776"/>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A97942"/>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8FA5C97"/>
    <w:rsid w:val="594F60D8"/>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7019736E"/>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C0202A"/>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 w:val="EB4F90B9"/>
    <w:rsid w:val="EEEFF7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11</Pages>
  <Words>4364</Words>
  <Characters>4831</Characters>
  <Lines>145</Lines>
  <Paragraphs>54</Paragraphs>
  <TotalTime>3173</TotalTime>
  <ScaleCrop>false</ScaleCrop>
  <LinksUpToDate>false</LinksUpToDate>
  <CharactersWithSpaces>4851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2020-01-07T00:45:00Z</dcterms:created>
  <dc:creator>dsx</dc:creator>
  <cp:lastModifiedBy>quzhou</cp:lastModifiedBy>
  <dcterms:modified xsi:type="dcterms:W3CDTF">2025-02-26T15:58:31Z</dcterms:modified>
  <dc:title>关于2019年部门预算的批复</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eyJoZGlkIjoiMzUwOGViMDkwNTU0OTU2MWJmNDQxNDBjNjRhMGNkMDIiLCJ1c2VySWQiOiI0MzI5Mjk5NzgifQ==</vt:lpwstr>
  </property>
</Properties>
</file>