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衢州市财政局2023</w:t>
      </w:r>
      <w:r>
        <w:rPr>
          <w:rFonts w:hint="eastAsia" w:ascii="黑体" w:hAnsi="黑体" w:eastAsia="黑体" w:cs="黑体"/>
          <w:sz w:val="44"/>
          <w:szCs w:val="44"/>
        </w:rPr>
        <w:t>年度单位决算</w:t>
      </w:r>
      <w:bookmarkEnd w:id="0"/>
    </w:p>
    <w:p>
      <w:pPr>
        <w:rPr>
          <w:rStyle w:val="13"/>
          <w:rFonts w:hint="eastAsia" w:ascii="仿宋" w:hAnsi="仿宋" w:eastAsia="仿宋" w:cs="仿宋"/>
          <w:b/>
          <w:bCs w:val="0"/>
          <w:i w:val="0"/>
          <w:iCs w:val="0"/>
          <w:caps w:val="0"/>
          <w:color w:val="333333"/>
          <w:spacing w:val="0"/>
          <w:sz w:val="44"/>
          <w:szCs w:val="44"/>
          <w:highlight w:val="none"/>
        </w:rPr>
      </w:pPr>
      <w:r>
        <w:br w:type="page"/>
      </w:r>
    </w:p>
    <w:p>
      <w:pPr>
        <w:pStyle w:val="9"/>
        <w:keepNext w:val="0"/>
        <w:keepLines w:val="0"/>
        <w:widowControl/>
        <w:suppressLineNumbers w:val="0"/>
        <w:ind w:left="0" w:firstLine="0"/>
        <w:jc w:val="both"/>
        <w:rPr>
          <w:rStyle w:val="13"/>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pPr>
            <w:pStyle w:val="7"/>
            <w:tabs>
              <w:tab w:val="right" w:leader="dot" w:pos="8296"/>
            </w:tabs>
          </w:pPr>
          <w:r>
            <w:rPr>
              <w:rFonts w:hint="default" w:ascii="Arial" w:hAnsi="Arial" w:eastAsia="Arial" w:cs="Arial"/>
              <w:i w:val="0"/>
              <w:iCs w:val="0"/>
              <w:caps w:val="0"/>
              <w:color w:val="333333"/>
              <w:spacing w:val="0"/>
              <w:sz w:val="13"/>
              <w:szCs w:val="13"/>
              <w:highlight w:val="none"/>
            </w:rPr>
            <w:fldChar w:fldCharType="begin"/>
          </w:r>
          <w:r>
            <w:rPr>
              <w:rFonts w:hint="default" w:ascii="Arial" w:hAnsi="Arial" w:eastAsia="Arial" w:cs="Arial"/>
              <w:i w:val="0"/>
              <w:iCs w:val="0"/>
              <w:caps w:val="0"/>
              <w:color w:val="333333"/>
              <w:spacing w:val="0"/>
              <w:sz w:val="13"/>
              <w:szCs w:val="13"/>
              <w:highlight w:val="none"/>
            </w:rPr>
            <w:instrText xml:space="preserve">TOC \o "1-2" \h \u</w:instrText>
          </w:r>
          <w:r>
            <w:rPr>
              <w:rFonts w:hint="default" w:ascii="Arial" w:hAnsi="Arial" w:eastAsia="Arial" w:cs="Arial"/>
              <w:i w:val="0"/>
              <w:iCs w:val="0"/>
              <w:caps w:val="0"/>
              <w:color w:val="333333"/>
              <w:spacing w:val="0"/>
              <w:sz w:val="13"/>
              <w:szCs w:val="13"/>
              <w:highlight w:val="none"/>
            </w:rPr>
            <w:fldChar w:fldCharType="separate"/>
          </w:r>
          <w:r>
            <w:fldChar w:fldCharType="begin"/>
          </w:r>
          <w:r>
            <w:instrText xml:space="preserve"> HYPERLINK \l "_Toc_1_2_0000000032" </w:instrText>
          </w:r>
          <w:r>
            <w:fldChar w:fldCharType="separate"/>
          </w:r>
          <w:r>
            <w:rPr>
              <w:b w:val="0"/>
              <w:highlight w:val="none"/>
            </w:rPr>
            <w:t>一、概况</w:t>
          </w:r>
          <w:r>
            <w:tab/>
          </w:r>
          <w:r>
            <w:fldChar w:fldCharType="begin"/>
          </w:r>
          <w:r>
            <w:instrText xml:space="preserve">PAGEREF _Toc_1_2_0000000032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"_Toc_1_2_0000000033" </w:instrText>
          </w:r>
          <w:r>
            <w:fldChar w:fldCharType="separate"/>
          </w:r>
          <w:r>
            <w:rPr>
              <w:b w:val="0"/>
              <w:highlight w:val="none"/>
            </w:rPr>
            <w:t>（一）单位职责</w:t>
          </w:r>
          <w:r>
            <w:tab/>
          </w:r>
          <w:r>
            <w:fldChar w:fldCharType="begin"/>
          </w:r>
          <w:r>
            <w:instrText xml:space="preserve">PAGEREF _Toc_1_2_0000000033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"_Toc_1_2_0000000034" </w:instrText>
          </w:r>
          <w:r>
            <w:fldChar w:fldCharType="separate"/>
          </w:r>
          <w:r>
            <w:rPr>
              <w:b w:val="0"/>
              <w:highlight w:val="none"/>
            </w:rPr>
            <w:t>（二）机构设置</w:t>
          </w:r>
          <w:r>
            <w:tab/>
          </w:r>
          <w:r>
            <w:fldChar w:fldCharType="begin"/>
          </w:r>
          <w:r>
            <w:instrText xml:space="preserve">PAGEREF _Toc_1_2_0000000034 \h</w:instrText>
          </w:r>
          <w:r>
            <w:fldChar w:fldCharType="separate"/>
          </w:r>
          <w:r>
            <w:t>4</w:t>
          </w:r>
          <w:r>
            <w:fldChar w:fldCharType="end"/>
          </w:r>
          <w:r>
            <w:fldChar w:fldCharType="end"/>
          </w:r>
        </w:p>
        <w:p>
          <w:pPr>
            <w:pStyle w:val="7"/>
            <w:tabs>
              <w:tab w:val="right" w:leader="dot" w:pos="8296"/>
            </w:tabs>
          </w:pPr>
          <w:r>
            <w:fldChar w:fldCharType="begin"/>
          </w:r>
          <w:r>
            <w:instrText xml:space="preserve"> HYPERLINK \l "_Toc_1_2_0000000035" </w:instrText>
          </w:r>
          <w:r>
            <w:fldChar w:fldCharType="separate"/>
          </w:r>
          <w:r>
            <w:rPr>
              <w:highlight w:val="none"/>
            </w:rPr>
            <w:t>二、2023年度单位决算公开表</w:t>
          </w:r>
          <w:r>
            <w:tab/>
          </w:r>
          <w:r>
            <w:fldChar w:fldCharType="begin"/>
          </w:r>
          <w:r>
            <w:instrText xml:space="preserve">PAGEREF _Toc_1_2_0000000035 \h</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"_Toc_1_2_0000000036" </w:instrText>
          </w:r>
          <w:r>
            <w:fldChar w:fldCharType="separate"/>
          </w:r>
          <w:r>
            <w:t>2023年度收入支出决算总表</w:t>
          </w:r>
          <w:r>
            <w:tab/>
          </w:r>
          <w:r>
            <w:fldChar w:fldCharType="begin"/>
          </w:r>
          <w:r>
            <w:instrText xml:space="preserve">PAGEREF _Toc_1_2_0000000036 \h</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"_Toc_1_2_0000000037" </w:instrText>
          </w:r>
          <w:r>
            <w:fldChar w:fldCharType="separate"/>
          </w:r>
          <w:r>
            <w:t>2023年度收入决算表（分单位）</w:t>
          </w:r>
          <w:r>
            <w:tab/>
          </w:r>
          <w:r>
            <w:fldChar w:fldCharType="begin"/>
          </w:r>
          <w:r>
            <w:instrText xml:space="preserve">PAGEREF _Toc_1_2_0000000037 \h</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"_Toc_1_2_0000000038" </w:instrText>
          </w:r>
          <w:r>
            <w:fldChar w:fldCharType="separate"/>
          </w:r>
          <w:r>
            <w:t>2023年度收入决算表（分科目）</w:t>
          </w:r>
          <w:r>
            <w:tab/>
          </w:r>
          <w:r>
            <w:fldChar w:fldCharType="begin"/>
          </w:r>
          <w:r>
            <w:instrText xml:space="preserve">PAGEREF _Toc_1_2_0000000038 \h</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"_Toc_1_2_0000000039" </w:instrText>
          </w:r>
          <w:r>
            <w:fldChar w:fldCharType="separate"/>
          </w:r>
          <w:r>
            <w:t>2023年度支出决算表（分单位）</w:t>
          </w:r>
          <w:r>
            <w:tab/>
          </w:r>
          <w:r>
            <w:fldChar w:fldCharType="begin"/>
          </w:r>
          <w:r>
            <w:instrText xml:space="preserve">PAGEREF _Toc_1_2_0000000039 \h</w:instrText>
          </w:r>
          <w:r>
            <w:fldChar w:fldCharType="separate"/>
          </w:r>
          <w:r>
            <w:t>10</w:t>
          </w:r>
          <w:r>
            <w:fldChar w:fldCharType="end"/>
          </w:r>
          <w:r>
            <w:fldChar w:fldCharType="end"/>
          </w:r>
        </w:p>
        <w:p>
          <w:pPr>
            <w:pStyle w:val="8"/>
            <w:tabs>
              <w:tab w:val="right" w:leader="dot" w:pos="8296"/>
            </w:tabs>
          </w:pPr>
          <w:r>
            <w:fldChar w:fldCharType="begin"/>
          </w:r>
          <w:r>
            <w:instrText xml:space="preserve"> HYPERLINK \l "_Toc_1_2_0000000040" </w:instrText>
          </w:r>
          <w:r>
            <w:fldChar w:fldCharType="separate"/>
          </w:r>
          <w:r>
            <w:t>2023年度支出决算表（分科目）</w:t>
          </w:r>
          <w:r>
            <w:tab/>
          </w:r>
          <w:r>
            <w:fldChar w:fldCharType="begin"/>
          </w:r>
          <w:r>
            <w:instrText xml:space="preserve">PAGEREF _Toc_1_2_0000000040 \h</w:instrText>
          </w:r>
          <w:r>
            <w:fldChar w:fldCharType="separate"/>
          </w:r>
          <w:r>
            <w:t>11</w:t>
          </w:r>
          <w:r>
            <w:fldChar w:fldCharType="end"/>
          </w:r>
          <w:r>
            <w:fldChar w:fldCharType="end"/>
          </w:r>
        </w:p>
        <w:p>
          <w:pPr>
            <w:pStyle w:val="8"/>
            <w:tabs>
              <w:tab w:val="right" w:leader="dot" w:pos="8296"/>
            </w:tabs>
          </w:pPr>
          <w:r>
            <w:fldChar w:fldCharType="begin"/>
          </w:r>
          <w:r>
            <w:instrText xml:space="preserve"> HYPERLINK \l "_Toc_1_2_0000000041" </w:instrText>
          </w:r>
          <w:r>
            <w:fldChar w:fldCharType="separate"/>
          </w:r>
          <w:r>
            <w:t>2023年度财政拨款收入支出决算总表</w:t>
          </w:r>
          <w:r>
            <w:tab/>
          </w:r>
          <w:r>
            <w:fldChar w:fldCharType="begin"/>
          </w:r>
          <w:r>
            <w:instrText xml:space="preserve">PAGEREF _Toc_1_2_0000000041 \h</w:instrText>
          </w:r>
          <w:r>
            <w:fldChar w:fldCharType="separate"/>
          </w:r>
          <w:r>
            <w:t>13</w:t>
          </w:r>
          <w:r>
            <w:fldChar w:fldCharType="end"/>
          </w:r>
          <w:r>
            <w:fldChar w:fldCharType="end"/>
          </w:r>
        </w:p>
        <w:p>
          <w:pPr>
            <w:pStyle w:val="8"/>
            <w:tabs>
              <w:tab w:val="right" w:leader="dot" w:pos="8296"/>
            </w:tabs>
          </w:pPr>
          <w:r>
            <w:fldChar w:fldCharType="begin"/>
          </w:r>
          <w:r>
            <w:instrText xml:space="preserve"> HYPERLINK \l "_Toc_1_2_0000000042" </w:instrText>
          </w:r>
          <w:r>
            <w:fldChar w:fldCharType="separate"/>
          </w:r>
          <w:r>
            <w:t>2023年度一般公共预算财政拨款支出决算表</w:t>
          </w:r>
          <w:r>
            <w:tab/>
          </w:r>
          <w:r>
            <w:fldChar w:fldCharType="begin"/>
          </w:r>
          <w:r>
            <w:instrText xml:space="preserve">PAGEREF _Toc_1_2_0000000042 \h</w:instrText>
          </w:r>
          <w:r>
            <w:fldChar w:fldCharType="separate"/>
          </w:r>
          <w:r>
            <w:t>15</w:t>
          </w:r>
          <w:r>
            <w:fldChar w:fldCharType="end"/>
          </w:r>
          <w:r>
            <w:fldChar w:fldCharType="end"/>
          </w:r>
        </w:p>
        <w:p>
          <w:pPr>
            <w:pStyle w:val="8"/>
            <w:tabs>
              <w:tab w:val="right" w:leader="dot" w:pos="8296"/>
            </w:tabs>
          </w:pPr>
          <w:r>
            <w:fldChar w:fldCharType="begin"/>
          </w:r>
          <w:r>
            <w:instrText xml:space="preserve"> HYPERLINK \l "_Toc_1_2_0000000043" </w:instrText>
          </w:r>
          <w:r>
            <w:fldChar w:fldCharType="separate"/>
          </w:r>
          <w:r>
            <w:t>2023年度一般公共预算财政拨款基本支出决算明细表</w:t>
          </w:r>
          <w:r>
            <w:tab/>
          </w:r>
          <w:r>
            <w:fldChar w:fldCharType="begin"/>
          </w:r>
          <w:r>
            <w:instrText xml:space="preserve">PAGEREF _Toc_1_2_0000000043 \h</w:instrText>
          </w:r>
          <w:r>
            <w:fldChar w:fldCharType="separate"/>
          </w:r>
          <w:r>
            <w:t>17</w:t>
          </w:r>
          <w:r>
            <w:fldChar w:fldCharType="end"/>
          </w:r>
          <w:r>
            <w:fldChar w:fldCharType="end"/>
          </w:r>
        </w:p>
        <w:p>
          <w:pPr>
            <w:pStyle w:val="8"/>
            <w:tabs>
              <w:tab w:val="right" w:leader="dot" w:pos="8296"/>
            </w:tabs>
          </w:pPr>
          <w:r>
            <w:fldChar w:fldCharType="begin"/>
          </w:r>
          <w:r>
            <w:instrText xml:space="preserve"> HYPERLINK \l "_Toc_1_2_0000000044" </w:instrText>
          </w:r>
          <w:r>
            <w:fldChar w:fldCharType="separate"/>
          </w:r>
          <w:r>
            <w:t>2023年度政府性基金预算财政拨款收入支出决算表</w:t>
          </w:r>
          <w:r>
            <w:tab/>
          </w:r>
          <w:r>
            <w:fldChar w:fldCharType="begin"/>
          </w:r>
          <w:r>
            <w:instrText xml:space="preserve">PAGEREF _Toc_1_2_0000000044 \h</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"_Toc_1_2_0000000045" </w:instrText>
          </w:r>
          <w:r>
            <w:fldChar w:fldCharType="separate"/>
          </w:r>
          <w:r>
            <w:t>2023年度国有资本经营预算财政拨款支出决算表</w:t>
          </w:r>
          <w:r>
            <w:tab/>
          </w:r>
          <w:r>
            <w:fldChar w:fldCharType="begin"/>
          </w:r>
          <w:r>
            <w:instrText xml:space="preserve">PAGEREF _Toc_1_2_0000000045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"_Toc_1_2_0000000046" </w:instrText>
          </w:r>
          <w:r>
            <w:fldChar w:fldCharType="separate"/>
          </w:r>
          <w:r>
            <w:t>2023年度财政拨款“三公”经费支出决算表</w:t>
          </w:r>
          <w:r>
            <w:tab/>
          </w:r>
          <w:r>
            <w:fldChar w:fldCharType="begin"/>
          </w:r>
          <w:r>
            <w:instrText xml:space="preserve">PAGEREF _Toc_1_2_0000000046 \h</w:instrText>
          </w:r>
          <w:r>
            <w:fldChar w:fldCharType="separate"/>
          </w:r>
          <w:r>
            <w:t>21</w:t>
          </w:r>
          <w:r>
            <w:fldChar w:fldCharType="end"/>
          </w:r>
          <w:r>
            <w:fldChar w:fldCharType="end"/>
          </w:r>
        </w:p>
        <w:p>
          <w:pPr>
            <w:pStyle w:val="7"/>
            <w:tabs>
              <w:tab w:val="right" w:leader="dot" w:pos="8296"/>
            </w:tabs>
          </w:pPr>
          <w:r>
            <w:fldChar w:fldCharType="begin"/>
          </w:r>
          <w:r>
            <w:instrText xml:space="preserve"> HYPERLINK \l "_Toc_1_2_0000000047" </w:instrText>
          </w:r>
          <w:r>
            <w:fldChar w:fldCharType="separate"/>
          </w:r>
          <w:r>
            <w:rPr>
              <w:b w:val="0"/>
              <w:highlight w:val="none"/>
            </w:rPr>
            <w:t>三、2023年度单位决算情况说明</w:t>
          </w:r>
          <w:r>
            <w:tab/>
          </w:r>
          <w:r>
            <w:fldChar w:fldCharType="begin"/>
          </w:r>
          <w:r>
            <w:instrText xml:space="preserve">PAGEREF _Toc_1_2_0000000047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"_Toc_1_2_0000000048" </w:instrText>
          </w:r>
          <w:r>
            <w:fldChar w:fldCharType="separate"/>
          </w:r>
          <w:r>
            <w:t>（一）收入支出决算总体情况说明</w:t>
          </w:r>
          <w:r>
            <w:tab/>
          </w:r>
          <w:r>
            <w:fldChar w:fldCharType="begin"/>
          </w:r>
          <w:r>
            <w:instrText xml:space="preserve">PAGEREF _Toc_1_2_0000000048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"_Toc_1_2_0000000049" </w:instrText>
          </w:r>
          <w:r>
            <w:fldChar w:fldCharType="separate"/>
          </w:r>
          <w:r>
            <w:rPr>
              <w:b w:val="0"/>
              <w:highlight w:val="none"/>
            </w:rPr>
            <w:t>（二）收入决算情况说明</w:t>
          </w:r>
          <w:r>
            <w:tab/>
          </w:r>
          <w:r>
            <w:fldChar w:fldCharType="begin"/>
          </w:r>
          <w:r>
            <w:instrText xml:space="preserve">PAGEREF _Toc_1_2_0000000049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"_Toc_1_2_0000000050" </w:instrText>
          </w:r>
          <w:r>
            <w:fldChar w:fldCharType="separate"/>
          </w:r>
          <w:r>
            <w:t>（三）支出决算情况说明</w:t>
          </w:r>
          <w:r>
            <w:tab/>
          </w:r>
          <w:r>
            <w:fldChar w:fldCharType="begin"/>
          </w:r>
          <w:r>
            <w:instrText xml:space="preserve">PAGEREF _Toc_1_2_0000000050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"_Toc_1_2_0000000051" </w:instrText>
          </w:r>
          <w:r>
            <w:fldChar w:fldCharType="separate"/>
          </w:r>
          <w:r>
            <w:t>（四）财政拨款收入支出决算总体情况说明</w:t>
          </w:r>
          <w:r>
            <w:tab/>
          </w:r>
          <w:r>
            <w:fldChar w:fldCharType="begin"/>
          </w:r>
          <w:r>
            <w:instrText xml:space="preserve">PAGEREF _Toc_1_2_0000000051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"_Toc_1_2_0000000052" </w:instrText>
          </w:r>
          <w:r>
            <w:fldChar w:fldCharType="separate"/>
          </w:r>
          <w:r>
            <w:t>（五）一般公共预算财政拨款支出决算情况说明</w:t>
          </w:r>
          <w:r>
            <w:tab/>
          </w:r>
          <w:r>
            <w:fldChar w:fldCharType="begin"/>
          </w:r>
          <w:r>
            <w:instrText xml:space="preserve">PAGEREF _Toc_1_2_0000000052 \h</w:instrText>
          </w:r>
          <w:r>
            <w:fldChar w:fldCharType="separate"/>
          </w:r>
          <w:r>
            <w:t>23</w:t>
          </w:r>
          <w:r>
            <w:fldChar w:fldCharType="end"/>
          </w:r>
          <w:r>
            <w:fldChar w:fldCharType="end"/>
          </w:r>
        </w:p>
        <w:p>
          <w:pPr>
            <w:pStyle w:val="8"/>
            <w:tabs>
              <w:tab w:val="right" w:leader="dot" w:pos="8296"/>
            </w:tabs>
          </w:pPr>
          <w:r>
            <w:fldChar w:fldCharType="begin"/>
          </w:r>
          <w:r>
            <w:instrText xml:space="preserve"> HYPERLINK \l "_Toc_1_2_0000000053" </w:instrText>
          </w:r>
          <w:r>
            <w:fldChar w:fldCharType="separate"/>
          </w:r>
          <w:r>
            <w:t>（六）一般公共预算财政拨款基本支出决算情况说明</w:t>
          </w:r>
          <w:r>
            <w:tab/>
          </w:r>
          <w:r>
            <w:fldChar w:fldCharType="begin"/>
          </w:r>
          <w:r>
            <w:instrText xml:space="preserve">PAGEREF _Toc_1_2_0000000053 \h</w:instrText>
          </w:r>
          <w:r>
            <w:fldChar w:fldCharType="separate"/>
          </w:r>
          <w:r>
            <w:t>25</w:t>
          </w:r>
          <w:r>
            <w:fldChar w:fldCharType="end"/>
          </w:r>
          <w:r>
            <w:fldChar w:fldCharType="end"/>
          </w:r>
        </w:p>
        <w:p>
          <w:pPr>
            <w:pStyle w:val="8"/>
            <w:tabs>
              <w:tab w:val="right" w:leader="dot" w:pos="8296"/>
            </w:tabs>
          </w:pPr>
          <w:r>
            <w:fldChar w:fldCharType="begin"/>
          </w:r>
          <w:r>
            <w:instrText xml:space="preserve"> HYPERLINK \l "_Toc_1_2_0000000054" </w:instrText>
          </w:r>
          <w:r>
            <w:fldChar w:fldCharType="separate"/>
          </w:r>
          <w:r>
            <w:t>（七）政府性基金预算财政拨款支出决算总体情况说明</w:t>
          </w:r>
          <w:r>
            <w:tab/>
          </w:r>
          <w:r>
            <w:fldChar w:fldCharType="begin"/>
          </w:r>
          <w:r>
            <w:instrText xml:space="preserve">PAGEREF _Toc_1_2_0000000054 \h</w:instrText>
          </w:r>
          <w:r>
            <w:fldChar w:fldCharType="separate"/>
          </w:r>
          <w:r>
            <w:t>26</w:t>
          </w:r>
          <w:r>
            <w:fldChar w:fldCharType="end"/>
          </w:r>
          <w:r>
            <w:fldChar w:fldCharType="end"/>
          </w:r>
        </w:p>
        <w:p>
          <w:pPr>
            <w:pStyle w:val="8"/>
            <w:tabs>
              <w:tab w:val="right" w:leader="dot" w:pos="8296"/>
            </w:tabs>
          </w:pPr>
          <w:r>
            <w:fldChar w:fldCharType="begin"/>
          </w:r>
          <w:r>
            <w:instrText xml:space="preserve"> HYPERLINK \l "_Toc_1_2_0000000055" </w:instrText>
          </w:r>
          <w:r>
            <w:fldChar w:fldCharType="separate"/>
          </w:r>
          <w:r>
            <w:t>（八）国有资本经营预算财政拨款支出决算总体情况说明</w:t>
          </w:r>
          <w:r>
            <w:tab/>
          </w:r>
          <w:r>
            <w:fldChar w:fldCharType="begin"/>
          </w:r>
          <w:r>
            <w:instrText xml:space="preserve">PAGEREF _Toc_1_2_0000000055 \h</w:instrText>
          </w:r>
          <w:r>
            <w:fldChar w:fldCharType="separate"/>
          </w:r>
          <w:r>
            <w:t>26</w:t>
          </w:r>
          <w:r>
            <w:fldChar w:fldCharType="end"/>
          </w:r>
          <w:r>
            <w:fldChar w:fldCharType="end"/>
          </w:r>
        </w:p>
        <w:p>
          <w:pPr>
            <w:pStyle w:val="8"/>
            <w:tabs>
              <w:tab w:val="right" w:leader="dot" w:pos="8296"/>
            </w:tabs>
          </w:pPr>
          <w:r>
            <w:fldChar w:fldCharType="begin"/>
          </w:r>
          <w:r>
            <w:instrText xml:space="preserve"> HYPERLINK \l "_Toc_1_2_0000000056" </w:instrText>
          </w:r>
          <w:r>
            <w:fldChar w:fldCharType="separate"/>
          </w:r>
          <w:r>
            <w:t>（九）财政拨款“三公”经费支出决算情况说明</w:t>
          </w:r>
          <w:r>
            <w:tab/>
          </w:r>
          <w:r>
            <w:fldChar w:fldCharType="begin"/>
          </w:r>
          <w:r>
            <w:instrText xml:space="preserve">PAGEREF _Toc_1_2_0000000056 \h</w:instrText>
          </w:r>
          <w:r>
            <w:fldChar w:fldCharType="separate"/>
          </w:r>
          <w:r>
            <w:t>26</w:t>
          </w:r>
          <w:r>
            <w:fldChar w:fldCharType="end"/>
          </w:r>
          <w:r>
            <w:fldChar w:fldCharType="end"/>
          </w:r>
        </w:p>
        <w:p>
          <w:pPr>
            <w:pStyle w:val="8"/>
            <w:tabs>
              <w:tab w:val="right" w:leader="dot" w:pos="8296"/>
            </w:tabs>
          </w:pPr>
          <w:r>
            <w:fldChar w:fldCharType="begin"/>
          </w:r>
          <w:r>
            <w:instrText xml:space="preserve"> HYPERLINK \l "_Toc_1_2_0000000057" </w:instrText>
          </w:r>
          <w:r>
            <w:fldChar w:fldCharType="separate"/>
          </w:r>
          <w:r>
            <w:t>（十）机关运行经费支出说明</w:t>
          </w:r>
          <w:r>
            <w:tab/>
          </w:r>
          <w:r>
            <w:fldChar w:fldCharType="begin"/>
          </w:r>
          <w:r>
            <w:instrText xml:space="preserve">PAGEREF _Toc_1_2_0000000057 \h</w:instrText>
          </w:r>
          <w:r>
            <w:fldChar w:fldCharType="separate"/>
          </w:r>
          <w:r>
            <w:t>28</w:t>
          </w:r>
          <w:r>
            <w:fldChar w:fldCharType="end"/>
          </w:r>
          <w:r>
            <w:fldChar w:fldCharType="end"/>
          </w:r>
        </w:p>
        <w:p>
          <w:pPr>
            <w:pStyle w:val="8"/>
            <w:tabs>
              <w:tab w:val="right" w:leader="dot" w:pos="8296"/>
            </w:tabs>
          </w:pPr>
          <w:r>
            <w:fldChar w:fldCharType="begin"/>
          </w:r>
          <w:r>
            <w:instrText xml:space="preserve"> HYPERLINK \l "_Toc_1_2_0000000058" </w:instrText>
          </w:r>
          <w:r>
            <w:fldChar w:fldCharType="separate"/>
          </w:r>
          <w:r>
            <w:t>（十一）政府采购支出说明</w:t>
          </w:r>
          <w:r>
            <w:tab/>
          </w:r>
          <w:r>
            <w:fldChar w:fldCharType="begin"/>
          </w:r>
          <w:r>
            <w:instrText xml:space="preserve">PAGEREF _Toc_1_2_0000000058 \h</w:instrText>
          </w:r>
          <w:r>
            <w:fldChar w:fldCharType="separate"/>
          </w:r>
          <w:r>
            <w:t>28</w:t>
          </w:r>
          <w:r>
            <w:fldChar w:fldCharType="end"/>
          </w:r>
          <w:r>
            <w:fldChar w:fldCharType="end"/>
          </w:r>
        </w:p>
        <w:p>
          <w:pPr>
            <w:pStyle w:val="8"/>
            <w:tabs>
              <w:tab w:val="right" w:leader="dot" w:pos="8296"/>
            </w:tabs>
          </w:pPr>
          <w:r>
            <w:fldChar w:fldCharType="begin"/>
          </w:r>
          <w:r>
            <w:instrText xml:space="preserve"> HYPERLINK \l "_Toc_1_2_0000000059" </w:instrText>
          </w:r>
          <w:r>
            <w:fldChar w:fldCharType="separate"/>
          </w:r>
          <w:r>
            <w:t>（十二）国有资产占有使用情况说明</w:t>
          </w:r>
          <w:r>
            <w:tab/>
          </w:r>
          <w:r>
            <w:fldChar w:fldCharType="begin"/>
          </w:r>
          <w:r>
            <w:instrText xml:space="preserve">PAGEREF _Toc_1_2_0000000059 \h</w:instrText>
          </w:r>
          <w:r>
            <w:fldChar w:fldCharType="separate"/>
          </w:r>
          <w:r>
            <w:t>29</w:t>
          </w:r>
          <w:r>
            <w:fldChar w:fldCharType="end"/>
          </w:r>
          <w:r>
            <w:fldChar w:fldCharType="end"/>
          </w:r>
        </w:p>
        <w:p>
          <w:pPr>
            <w:pStyle w:val="8"/>
            <w:tabs>
              <w:tab w:val="right" w:leader="dot" w:pos="8296"/>
            </w:tabs>
          </w:pPr>
          <w:r>
            <w:fldChar w:fldCharType="begin"/>
          </w:r>
          <w:r>
            <w:instrText xml:space="preserve"> HYPERLINK \l "_Toc_1_2_0000000060" </w:instrText>
          </w:r>
          <w:r>
            <w:fldChar w:fldCharType="separate"/>
          </w:r>
          <w:r>
            <w:t>（十三）预算绩效情况说明</w:t>
          </w:r>
          <w:r>
            <w:tab/>
          </w:r>
          <w:r>
            <w:fldChar w:fldCharType="begin"/>
          </w:r>
          <w:r>
            <w:instrText xml:space="preserve">PAGEREF _Toc_1_2_0000000060 \h</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"_Toc_1_2_0000000061" </w:instrText>
          </w:r>
          <w:r>
            <w:fldChar w:fldCharType="separate"/>
          </w:r>
          <w:r>
            <w:t>四、名词解释</w:t>
          </w:r>
          <w:r>
            <w:tab/>
          </w:r>
          <w:r>
            <w:fldChar w:fldCharType="begin"/>
          </w:r>
          <w:r>
            <w:instrText xml:space="preserve">PAGEREF _Toc_1_2_0000000061 \h</w:instrText>
          </w:r>
          <w:r>
            <w:fldChar w:fldCharType="separate"/>
          </w:r>
          <w:r>
            <w:t>34</w:t>
          </w:r>
          <w:r>
            <w:fldChar w:fldCharType="end"/>
          </w:r>
          <w:r>
            <w:fldChar w:fldCharType="end"/>
          </w:r>
        </w:p>
        <w:p>
          <w:pPr>
            <w:pStyle w:val="7"/>
            <w:tabs>
              <w:tab w:val="right" w:leader="dot" w:pos="8296"/>
            </w:tabs>
          </w:pPr>
          <w:r>
            <w:fldChar w:fldCharType="begin"/>
          </w:r>
          <w:r>
            <w:instrText xml:space="preserve"> HYPERLINK \l "_Toc_1_2_0000000062" </w:instrText>
          </w:r>
          <w:r>
            <w:fldChar w:fldCharType="separate"/>
          </w:r>
          <w:r>
            <w:t>五、附件</w:t>
          </w:r>
          <w:r>
            <w:tab/>
          </w:r>
          <w:r>
            <w:fldChar w:fldCharType="begin"/>
          </w:r>
          <w:r>
            <w:instrText xml:space="preserve">PAGEREF _Toc_1_2_0000000062 \h</w:instrText>
          </w:r>
          <w:r>
            <w:fldChar w:fldCharType="separate"/>
          </w:r>
          <w:r>
            <w:t>37</w:t>
          </w:r>
          <w:r>
            <w:fldChar w:fldCharType="end"/>
          </w:r>
          <w:r>
            <w:fldChar w:fldCharType="end"/>
          </w:r>
        </w:p>
        <w:p>
          <w:pPr>
            <w:keepNext w:val="0"/>
            <w:keepLines w:val="0"/>
            <w:widowControl/>
            <w:suppressLineNumbers w:val="0"/>
            <w:spacing w:before="0" w:beforeAutospacing="0" w:after="0" w:afterAutospacing="0" w:line="600" w:lineRule="atLeast"/>
            <w:ind w:right="0"/>
            <w:jc w:val="both"/>
          </w:pPr>
          <w:r>
            <w:rPr>
              <w:rFonts w:hint="default" w:ascii="Arial" w:hAnsi="Arial" w:eastAsia="Arial" w:cs="Arial"/>
              <w:i w:val="0"/>
              <w:iCs w:val="0"/>
              <w:caps w:val="0"/>
              <w:color w:val="333333"/>
              <w:spacing w:val="0"/>
              <w:szCs w:val="13"/>
              <w:highlight w:val="none"/>
            </w:rPr>
            <w:fldChar w:fldCharType="end"/>
          </w:r>
          <w:bookmarkStart w:id="1" w:name="_Toc25986"/>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val="0"/>
          <w:bCs/>
          <w:color w:val="000000"/>
          <w:sz w:val="32"/>
          <w:szCs w:val="24"/>
          <w:highlight w:val="none"/>
          <w:lang w:val="en-US" w:eastAsia="zh-CN"/>
        </w:rPr>
      </w:pPr>
      <w:bookmarkStart w:id="2" w:name="_Toc_1_2_0000000032"/>
      <w:r>
        <w:rPr>
          <w:rFonts w:hint="eastAsia" w:ascii="黑体" w:hAnsi="黑体" w:eastAsia="黑体"/>
          <w:b w:val="0"/>
          <w:bCs/>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default" w:ascii="黑体" w:hAnsi="宋体" w:eastAsia="楷体" w:cs="黑体"/>
          <w:bCs/>
          <w:kern w:val="2"/>
          <w:sz w:val="32"/>
          <w:szCs w:val="32"/>
          <w:highlight w:val="none"/>
          <w:lang w:val="en-US" w:eastAsia="zh-CN"/>
        </w:rPr>
      </w:pPr>
      <w:bookmarkStart w:id="3" w:name="_Toc_1_2_0000000033"/>
      <w:bookmarkStart w:id="4" w:name="_Toc18250"/>
      <w:r>
        <w:rPr>
          <w:rFonts w:hint="eastAsia" w:ascii="楷体" w:hAnsi="楷体" w:eastAsia="楷体"/>
          <w:b w:val="0"/>
          <w:bCs/>
          <w:color w:val="000000"/>
          <w:sz w:val="32"/>
          <w:szCs w:val="24"/>
          <w:highlight w:val="none"/>
          <w:lang w:val="en-US" w:eastAsia="zh-CN"/>
        </w:rPr>
        <w:t>（一）单位职责</w:t>
      </w:r>
      <w:bookmarkEnd w:id="3"/>
      <w:bookmarkEnd w:id="4"/>
    </w:p>
    <w:p>
      <w:pPr>
        <w:spacing w:beforeLines="0" w:afterLines="0" w:line="600" w:lineRule="exact"/>
        <w:ind w:firstLine="640"/>
        <w:rPr>
          <w:rFonts w:hint="eastAsia" w:ascii="仿宋" w:hAnsi="仿宋" w:eastAsia="仿宋"/>
          <w:color w:val="000000"/>
          <w:sz w:val="32"/>
          <w:szCs w:val="24"/>
          <w:highlight w:val="none"/>
        </w:rPr>
      </w:pPr>
      <w:r>
        <w:rPr>
          <w:rFonts w:hint="eastAsia" w:ascii="仿宋" w:hAnsi="仿宋" w:eastAsia="仿宋" w:cs="仿宋"/>
          <w:kern w:val="0"/>
          <w:sz w:val="32"/>
          <w:szCs w:val="32"/>
          <w:highlight w:val="none"/>
          <w:lang w:val="en-US" w:eastAsia="zh-CN"/>
        </w:rPr>
        <w:t>1.拟订全市财税发展规划、政策和改革方案并组织实施。分析预测宏观经济形势，参与制定有关宏观经济政策，提出贯彻国家宏观调控政策的建议。拟订和执行财政分配政策，完善鼓励公益事业发展的财税政策。</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2.贯彻执行国家的财政、税收、财务、会计、行政事业单位国有资产管理等法律、法规和方针、政策。起草财政、税收、财务、会计管理等规范性文件并组织实施。监督财税法规、政策的执行情况。</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3.负责各项财政收支管理。编制全市年度预决算草案并组织执行。组织制定经费开支标准、定额，审核批复部门（单位）的年度预决算。受市政府委托，向市人大报告全市和市本级预算及执行情况，向市人大常委会报告决算。负责政府投资基金财政出资的预算管理和国有资产管理。负责市本级预决算公开。指导全市乡镇财政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4.按分工负责政府非税收入管理。负责政府性基金管理，按规定管理行政事业性收费。管理财政票据。按规定管理彩票资金。负责统一公共支付平台建设和应用推广。</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5.组织制定国库管理制度、国库集中收付制度，指导和监督国库业务，按规定开展国库现金管理。组织制定财政专户、预算单位账户及资金存放管理制度。负责市级财政预算会计核算与管理。负责编制全市财政决算、部门决算、权责发生制政府财务报告。</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6.负责全市政府采购监督管理。负责市本级政府采购事务。建立统一的电子化政府采购管理和交易平台。负责政府采购对外事务。</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7.负责管理政府内外债。负责管理地方政府债务，防范和化解地方政府债务风险。负责地方政府债券发行工作。归口管理国际金融组织和外国政府的贷（赠）款业务。</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8、牵头编制国有资产管理情况报告。根据市政府授权，集中统一履行市属国有金融资本出资人职责，代表市政府对相关企业履行出资人职责。拟订行政事业性资产管理制度并组织实施。</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9.负责汇总和编制国有资本经营预决算草案。制定国有资本经营预算的制度和办法，收取市本级企业国有资本收益。制定并组织实施企业财务制度。参与拟订企业国有资产管理相关制度。</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10.按权限负责社会保险基金管理。负责汇总和编制全市和市本级社会保险基金预决算草案，制定社会保险基金财政补助政策和财务会计管理制度，参与拟订社会保障政策，管理市级各项社会保障支出。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11.负责办理和监督市本级财政的经济发展支出。负责编制市级政府投资预算和重大投资项目资金安排表。制定基本建设财务管理制度，负责有关政策性补贴和专项储备资金财政管理工作。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12.负责实施预算绩效管理。建立预算绩效管理体系，组织实施事前绩效评估、绩效目标管理、绩效监控和绩效评价。</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13.管理全市会计工作，监督和规范会计行为。组织实施国家统一的会计制度，指导和监督注册会计师、会计师事务所、代理记账行业的业务，指导和管理社会审计。依法管理资产评估有关工作。指导推进全市注册会计师、资产评估行业党的建设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14.完成市委、市政府交办的其他任务。</w:t>
      </w:r>
    </w:p>
    <w:p>
      <w:pPr>
        <w:spacing w:beforeLines="0" w:afterLines="0" w:line="600" w:lineRule="exact"/>
        <w:ind w:firstLine="641"/>
        <w:jc w:val="left"/>
        <w:outlineLvl w:val="1"/>
        <w:rPr>
          <w:rFonts w:hint="eastAsia" w:ascii="仿宋" w:hAnsi="仿宋" w:eastAsia="仿宋" w:cs="仿宋"/>
          <w:b w:val="0"/>
          <w:bCs/>
          <w:kern w:val="0"/>
          <w:sz w:val="32"/>
          <w:szCs w:val="32"/>
          <w:highlight w:val="none"/>
          <w:lang w:val="en-US" w:eastAsia="zh-CN"/>
        </w:rPr>
      </w:pPr>
      <w:bookmarkStart w:id="5" w:name="_Toc24572"/>
      <w:bookmarkStart w:id="6" w:name="_Toc_1_2_0000000034"/>
      <w:r>
        <w:rPr>
          <w:rFonts w:hint="eastAsia" w:ascii="楷体" w:hAnsi="楷体" w:eastAsia="楷体"/>
          <w:b w:val="0"/>
          <w:bCs/>
          <w:color w:val="000000"/>
          <w:sz w:val="32"/>
          <w:szCs w:val="24"/>
          <w:highlight w:val="none"/>
          <w:lang w:val="en-US" w:eastAsia="zh-CN"/>
        </w:rPr>
        <w:t>（二）机构设置</w:t>
      </w:r>
      <w:bookmarkEnd w:id="5"/>
      <w:bookmarkEnd w:id="6"/>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从预算单位构成看，本单位内设：</w:t>
      </w:r>
      <w:r>
        <w:rPr>
          <w:rFonts w:hint="eastAsia" w:ascii="仿宋" w:hAnsi="仿宋" w:eastAsia="仿宋" w:cs="仿宋"/>
          <w:kern w:val="0"/>
          <w:sz w:val="32"/>
          <w:szCs w:val="32"/>
          <w:highlight w:val="none"/>
          <w:lang w:val="en-US" w:eastAsia="zh-CN"/>
        </w:rPr>
        <w:t>从预算单位构成看，衢州市财政局（本级）单位预算包括：办公室、财政政研室、政策法规处、预算局、地方政府债务管理办公室、预算执行局、综合处、会计处、教科文处、行政事业资产管理处、农业处（基层财政管理处）、企业处（金融处）、社会保障处、行政政法处、资源环境处、财政监督局、绩效管理处、政府采购监管处、人事教育处、机关党委。</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val="0"/>
          <w:bCs/>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7" w:name="_Toc19701"/>
    </w:p>
    <w:bookmarkEnd w:id="7"/>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val="0"/>
          <w:bCs/>
          <w:color w:val="000000"/>
          <w:sz w:val="32"/>
          <w:szCs w:val="24"/>
          <w:highlight w:val="none"/>
          <w:lang w:val="en-US" w:eastAsia="zh-CN"/>
        </w:rPr>
      </w:pPr>
      <w:bookmarkStart w:id="8" w:name="_Toc_1_2_0000000035"/>
      <w:bookmarkStart w:id="9" w:name="_Toc28993"/>
      <w:r>
        <w:rPr>
          <w:rFonts w:hint="eastAsia" w:ascii="黑体" w:hAnsi="黑体" w:eastAsia="黑体"/>
          <w:b w:val="0"/>
          <w:bCs/>
          <w:color w:val="000000"/>
          <w:sz w:val="32"/>
          <w:szCs w:val="24"/>
          <w:highlight w:val="none"/>
          <w:lang w:val="en-US" w:eastAsia="zh-CN"/>
        </w:rPr>
        <w:t>二、2023年度单位决算公开表</w:t>
      </w:r>
      <w:bookmarkEnd w:id="8"/>
    </w:p>
    <w:p>
      <w:pPr>
        <w:pStyle w:val="3"/>
        <w:bidi w:val="0"/>
        <w:jc w:val="center"/>
        <w:outlineLvl w:val="1"/>
        <w:rPr>
          <w:rFonts w:hint="eastAsia" w:ascii="楷体" w:hAnsi="楷体" w:eastAsia="楷体" w:cs="楷体"/>
          <w:b w:val="0"/>
          <w:bCs/>
          <w:lang w:val="en-US" w:eastAsia="zh-CN"/>
        </w:rPr>
      </w:pPr>
      <w:bookmarkStart w:id="10" w:name="_Toc_1_2_0000000036"/>
      <w:r>
        <w:rPr>
          <w:rFonts w:hint="eastAsia" w:ascii="楷体" w:hAnsi="楷体" w:eastAsia="楷体" w:cs="楷体"/>
          <w:b w:val="0"/>
          <w:bCs/>
          <w:lang w:val="en-US" w:eastAsia="zh-CN"/>
        </w:rPr>
        <w:t>2023年度收入支出决算总表</w:t>
      </w:r>
      <w:bookmarkEnd w:id="10"/>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6980" w:type="dxa"/>
            <w:gridSpan w:val="3"/>
            <w:vAlign w:val="center"/>
          </w:tcPr>
          <w:p>
            <w:pPr>
              <w:jc w:val="center"/>
            </w:pPr>
            <w:r>
              <w:rPr>
                <w:rFonts w:ascii="宋体" w:hAnsi="宋体" w:eastAsia="宋体" w:cs="宋体"/>
                <w:b w:val="0"/>
                <w:i w:val="0"/>
                <w:color w:val="000000"/>
                <w:sz w:val="21"/>
              </w:rPr>
              <w:t>收     入</w:t>
            </w:r>
          </w:p>
        </w:tc>
        <w:tc>
          <w:tcPr>
            <w:tcW w:w="6978" w:type="dxa"/>
            <w:gridSpan w:val="3"/>
            <w:vAlign w:val="center"/>
          </w:tcPr>
          <w:p>
            <w:pPr>
              <w:jc w:val="center"/>
            </w:pPr>
            <w:r>
              <w:rPr>
                <w:rFonts w:ascii="宋体" w:hAnsi="宋体" w:eastAsia="宋体" w:cs="宋体"/>
                <w:b w:val="0"/>
                <w:i w:val="0"/>
                <w:color w:val="000000"/>
                <w:sz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5,856.72</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4,900.01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231.34</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606.17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94.32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487.56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6,088.06</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6,088.06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使用非财政拨款结余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 xml:space="preserve">    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280.82</w:t>
            </w:r>
          </w:p>
        </w:tc>
        <w:tc>
          <w:tcPr>
            <w:tcW w:w="4180" w:type="dxa"/>
            <w:vAlign w:val="center"/>
          </w:tcPr>
          <w:p>
            <w:pPr>
              <w:jc w:val="left"/>
            </w:pPr>
            <w:r>
              <w:rPr>
                <w:rFonts w:ascii="宋体" w:hAnsi="宋体" w:eastAsia="宋体" w:cs="宋体"/>
                <w:b w:val="0"/>
                <w:i w:val="0"/>
                <w:color w:val="000000"/>
                <w:sz w:val="21"/>
              </w:rPr>
              <w:t xml:space="preserve">    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280.82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6,368.88</w:t>
            </w:r>
          </w:p>
        </w:tc>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6,368.88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pPr>
        <w:snapToGrid w:val="0"/>
        <w:spacing w:before="0" w:after="0" w:line="0" w:lineRule="auto"/>
      </w:pPr>
      <w:r>
        <w:rPr>
          <w:sz w:val="8"/>
        </w:rPr>
        <w:t xml:space="preserve"> </w:t>
      </w:r>
    </w:p>
    <w:p>
      <w:pPr>
        <w:pStyle w:val="3"/>
        <w:bidi w:val="0"/>
        <w:jc w:val="both"/>
        <w:outlineLvl w:val="0"/>
        <w:rPr>
          <w:rFonts w:hint="eastAsia" w:ascii="楷体" w:hAnsi="楷体" w:eastAsia="楷体" w:cs="楷体"/>
          <w:b w:val="0"/>
          <w:bCs/>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val="0"/>
          <w:bCs/>
          <w:lang w:val="en-US" w:eastAsia="zh-CN"/>
        </w:rPr>
      </w:pPr>
      <w:bookmarkStart w:id="11" w:name="_Toc_1_2_0000000037"/>
      <w:r>
        <w:rPr>
          <w:rFonts w:hint="eastAsia" w:ascii="楷体" w:hAnsi="楷体" w:eastAsia="楷体" w:cs="楷体"/>
          <w:b w:val="0"/>
          <w:bCs/>
          <w:lang w:val="en-US" w:eastAsia="zh-CN"/>
        </w:rPr>
        <w:t>2023年度收入决算表（分单位）</w:t>
      </w:r>
      <w:bookmarkEnd w:id="9"/>
      <w:bookmarkEnd w:id="11"/>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80"/>
        <w:gridCol w:w="1500"/>
        <w:gridCol w:w="1500"/>
        <w:gridCol w:w="1500"/>
        <w:gridCol w:w="1500"/>
        <w:gridCol w:w="1500"/>
        <w:gridCol w:w="150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8" w:hRule="exact"/>
          <w:jc w:val="center"/>
        </w:trPr>
        <w:tc>
          <w:tcPr>
            <w:tcW w:w="3480" w:type="dxa"/>
            <w:vMerge w:val="restart"/>
            <w:vAlign w:val="center"/>
          </w:tcPr>
          <w:p>
            <w:pPr>
              <w:jc w:val="center"/>
            </w:pPr>
            <w:r>
              <w:rPr>
                <w:rFonts w:ascii="宋体" w:hAnsi="宋体" w:eastAsia="宋体" w:cs="宋体"/>
                <w:b w:val="0"/>
                <w:i w:val="0"/>
                <w:color w:val="000000"/>
                <w:sz w:val="17"/>
              </w:rPr>
              <w:t>单位名称</w:t>
            </w:r>
          </w:p>
        </w:tc>
        <w:tc>
          <w:tcPr>
            <w:tcW w:w="1500" w:type="dxa"/>
            <w:vMerge w:val="restart"/>
            <w:vAlign w:val="center"/>
          </w:tcPr>
          <w:p>
            <w:pPr>
              <w:jc w:val="center"/>
            </w:pPr>
            <w:r>
              <w:rPr>
                <w:rFonts w:ascii="宋体" w:hAnsi="宋体" w:eastAsia="宋体" w:cs="宋体"/>
                <w:b w:val="0"/>
                <w:i w:val="0"/>
                <w:color w:val="000000"/>
                <w:sz w:val="17"/>
              </w:rPr>
              <w:t>本年收入合计</w:t>
            </w:r>
          </w:p>
        </w:tc>
        <w:tc>
          <w:tcPr>
            <w:tcW w:w="1500" w:type="dxa"/>
            <w:vMerge w:val="restart"/>
            <w:vAlign w:val="center"/>
          </w:tcPr>
          <w:p>
            <w:pPr>
              <w:jc w:val="center"/>
            </w:pPr>
            <w:r>
              <w:rPr>
                <w:rFonts w:ascii="宋体" w:hAnsi="宋体" w:eastAsia="宋体" w:cs="宋体"/>
                <w:b w:val="0"/>
                <w:i w:val="0"/>
                <w:color w:val="000000"/>
                <w:sz w:val="17"/>
              </w:rPr>
              <w:t>财政拨款收入</w:t>
            </w:r>
          </w:p>
        </w:tc>
        <w:tc>
          <w:tcPr>
            <w:tcW w:w="1500" w:type="dxa"/>
            <w:vMerge w:val="restart"/>
            <w:vAlign w:val="center"/>
          </w:tcPr>
          <w:p>
            <w:pPr>
              <w:jc w:val="center"/>
            </w:pPr>
            <w:r>
              <w:rPr>
                <w:rFonts w:ascii="宋体" w:hAnsi="宋体" w:eastAsia="宋体" w:cs="宋体"/>
                <w:b w:val="0"/>
                <w:i w:val="0"/>
                <w:color w:val="000000"/>
                <w:sz w:val="17"/>
              </w:rPr>
              <w:t>上级补助收入</w:t>
            </w:r>
          </w:p>
        </w:tc>
        <w:tc>
          <w:tcPr>
            <w:tcW w:w="1500" w:type="dxa"/>
            <w:vMerge w:val="restart"/>
            <w:vAlign w:val="center"/>
          </w:tcPr>
          <w:p>
            <w:pPr>
              <w:jc w:val="center"/>
            </w:pPr>
            <w:r>
              <w:rPr>
                <w:rFonts w:ascii="宋体" w:hAnsi="宋体" w:eastAsia="宋体" w:cs="宋体"/>
                <w:b w:val="0"/>
                <w:i w:val="0"/>
                <w:color w:val="000000"/>
                <w:sz w:val="17"/>
              </w:rPr>
              <w:t>事业收入</w:t>
            </w:r>
          </w:p>
        </w:tc>
        <w:tc>
          <w:tcPr>
            <w:tcW w:w="1500" w:type="dxa"/>
            <w:vMerge w:val="restart"/>
            <w:vAlign w:val="center"/>
          </w:tcPr>
          <w:p>
            <w:pPr>
              <w:jc w:val="center"/>
            </w:pPr>
            <w:r>
              <w:rPr>
                <w:rFonts w:ascii="宋体" w:hAnsi="宋体" w:eastAsia="宋体" w:cs="宋体"/>
                <w:b w:val="0"/>
                <w:i w:val="0"/>
                <w:color w:val="000000"/>
                <w:sz w:val="17"/>
              </w:rPr>
              <w:t>经营收入</w:t>
            </w:r>
          </w:p>
        </w:tc>
        <w:tc>
          <w:tcPr>
            <w:tcW w:w="1500" w:type="dxa"/>
            <w:vMerge w:val="restart"/>
            <w:vAlign w:val="center"/>
          </w:tcPr>
          <w:p>
            <w:pPr>
              <w:jc w:val="center"/>
            </w:pPr>
            <w:r>
              <w:rPr>
                <w:rFonts w:ascii="宋体" w:hAnsi="宋体" w:eastAsia="宋体" w:cs="宋体"/>
                <w:b w:val="0"/>
                <w:i w:val="0"/>
                <w:color w:val="000000"/>
                <w:sz w:val="17"/>
              </w:rPr>
              <w:t>附属单位上缴收入</w:t>
            </w:r>
          </w:p>
        </w:tc>
        <w:tc>
          <w:tcPr>
            <w:tcW w:w="147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8" w:hRule="exact"/>
          <w:jc w:val="center"/>
        </w:trPr>
        <w:tc>
          <w:tcPr>
            <w:tcW w:w="348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3480" w:type="dxa"/>
            <w:vAlign w:val="center"/>
          </w:tcPr>
          <w:p>
            <w:pPr>
              <w:jc w:val="center"/>
            </w:pPr>
            <w:r>
              <w:rPr>
                <w:rFonts w:ascii="宋体" w:hAnsi="宋体" w:eastAsia="宋体" w:cs="宋体"/>
                <w:b w:val="0"/>
                <w:i w:val="0"/>
                <w:color w:val="000000"/>
                <w:sz w:val="17"/>
              </w:rPr>
              <w:t>栏次</w:t>
            </w:r>
          </w:p>
        </w:tc>
        <w:tc>
          <w:tcPr>
            <w:tcW w:w="1500" w:type="dxa"/>
            <w:vAlign w:val="center"/>
          </w:tcPr>
          <w:p>
            <w:pPr>
              <w:jc w:val="center"/>
            </w:pPr>
            <w:r>
              <w:rPr>
                <w:rFonts w:ascii="宋体" w:hAnsi="宋体" w:eastAsia="宋体" w:cs="宋体"/>
                <w:b w:val="0"/>
                <w:i w:val="0"/>
                <w:color w:val="000000"/>
                <w:sz w:val="17"/>
              </w:rPr>
              <w:t>1</w:t>
            </w:r>
          </w:p>
        </w:tc>
        <w:tc>
          <w:tcPr>
            <w:tcW w:w="1500" w:type="dxa"/>
            <w:vAlign w:val="center"/>
          </w:tcPr>
          <w:p>
            <w:pPr>
              <w:jc w:val="center"/>
            </w:pPr>
            <w:r>
              <w:rPr>
                <w:rFonts w:ascii="宋体" w:hAnsi="宋体" w:eastAsia="宋体" w:cs="宋体"/>
                <w:b w:val="0"/>
                <w:i w:val="0"/>
                <w:color w:val="000000"/>
                <w:sz w:val="17"/>
              </w:rPr>
              <w:t>2</w:t>
            </w:r>
          </w:p>
        </w:tc>
        <w:tc>
          <w:tcPr>
            <w:tcW w:w="1500" w:type="dxa"/>
            <w:vAlign w:val="center"/>
          </w:tcPr>
          <w:p>
            <w:pPr>
              <w:jc w:val="center"/>
            </w:pPr>
            <w:r>
              <w:rPr>
                <w:rFonts w:ascii="宋体" w:hAnsi="宋体" w:eastAsia="宋体" w:cs="宋体"/>
                <w:b w:val="0"/>
                <w:i w:val="0"/>
                <w:color w:val="000000"/>
                <w:sz w:val="17"/>
              </w:rPr>
              <w:t>3</w:t>
            </w:r>
          </w:p>
        </w:tc>
        <w:tc>
          <w:tcPr>
            <w:tcW w:w="1500" w:type="dxa"/>
            <w:vAlign w:val="center"/>
          </w:tcPr>
          <w:p>
            <w:pPr>
              <w:jc w:val="center"/>
            </w:pPr>
            <w:r>
              <w:rPr>
                <w:rFonts w:ascii="宋体" w:hAnsi="宋体" w:eastAsia="宋体" w:cs="宋体"/>
                <w:b w:val="0"/>
                <w:i w:val="0"/>
                <w:color w:val="000000"/>
                <w:sz w:val="17"/>
              </w:rPr>
              <w:t>4</w:t>
            </w:r>
          </w:p>
        </w:tc>
        <w:tc>
          <w:tcPr>
            <w:tcW w:w="1500" w:type="dxa"/>
            <w:vAlign w:val="center"/>
          </w:tcPr>
          <w:p>
            <w:pPr>
              <w:jc w:val="center"/>
            </w:pPr>
            <w:r>
              <w:rPr>
                <w:rFonts w:ascii="宋体" w:hAnsi="宋体" w:eastAsia="宋体" w:cs="宋体"/>
                <w:b w:val="0"/>
                <w:i w:val="0"/>
                <w:color w:val="000000"/>
                <w:sz w:val="17"/>
              </w:rPr>
              <w:t>5</w:t>
            </w:r>
          </w:p>
        </w:tc>
        <w:tc>
          <w:tcPr>
            <w:tcW w:w="1500" w:type="dxa"/>
            <w:vAlign w:val="center"/>
          </w:tcPr>
          <w:p>
            <w:pPr>
              <w:jc w:val="center"/>
            </w:pPr>
            <w:r>
              <w:rPr>
                <w:rFonts w:ascii="宋体" w:hAnsi="宋体" w:eastAsia="宋体" w:cs="宋体"/>
                <w:b w:val="0"/>
                <w:i w:val="0"/>
                <w:color w:val="000000"/>
                <w:sz w:val="17"/>
              </w:rPr>
              <w:t>6</w:t>
            </w:r>
          </w:p>
        </w:tc>
        <w:tc>
          <w:tcPr>
            <w:tcW w:w="147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3480" w:type="dxa"/>
            <w:vAlign w:val="center"/>
          </w:tcPr>
          <w:p>
            <w:pPr>
              <w:jc w:val="center"/>
            </w:pPr>
            <w:r>
              <w:rPr>
                <w:rFonts w:ascii="宋体" w:hAnsi="宋体" w:eastAsia="宋体" w:cs="宋体"/>
                <w:b w:val="0"/>
                <w:i w:val="0"/>
                <w:color w:val="000000"/>
                <w:sz w:val="17"/>
              </w:rPr>
              <w:t>合计</w:t>
            </w:r>
          </w:p>
        </w:tc>
        <w:tc>
          <w:tcPr>
            <w:tcW w:w="1500" w:type="dxa"/>
            <w:vAlign w:val="center"/>
          </w:tcPr>
          <w:p>
            <w:pPr>
              <w:jc w:val="right"/>
            </w:pPr>
            <w:r>
              <w:rPr>
                <w:rFonts w:ascii="宋体" w:hAnsi="宋体" w:eastAsia="宋体" w:cs="宋体"/>
                <w:b w:val="0"/>
                <w:i w:val="0"/>
                <w:color w:val="000000"/>
                <w:sz w:val="17"/>
              </w:rPr>
              <w:t>6,088.06</w:t>
            </w:r>
          </w:p>
        </w:tc>
        <w:tc>
          <w:tcPr>
            <w:tcW w:w="1500" w:type="dxa"/>
            <w:vAlign w:val="center"/>
          </w:tcPr>
          <w:p>
            <w:pPr>
              <w:jc w:val="right"/>
            </w:pPr>
            <w:r>
              <w:rPr>
                <w:rFonts w:ascii="宋体" w:hAnsi="宋体" w:eastAsia="宋体" w:cs="宋体"/>
                <w:b w:val="0"/>
                <w:i w:val="0"/>
                <w:color w:val="000000"/>
                <w:sz w:val="17"/>
              </w:rPr>
              <w:t>5,856.72</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231.34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4" w:hRule="exact"/>
          <w:jc w:val="center"/>
        </w:trPr>
        <w:tc>
          <w:tcPr>
            <w:tcW w:w="3480" w:type="dxa"/>
            <w:vAlign w:val="center"/>
          </w:tcPr>
          <w:p>
            <w:pPr>
              <w:jc w:val="left"/>
            </w:pPr>
            <w:r>
              <w:rPr>
                <w:rFonts w:ascii="宋体" w:hAnsi="宋体" w:eastAsia="宋体" w:cs="宋体"/>
                <w:b w:val="0"/>
                <w:i w:val="0"/>
                <w:color w:val="000000"/>
                <w:sz w:val="17"/>
              </w:rPr>
              <w:t>衢州市财政局</w:t>
            </w:r>
          </w:p>
        </w:tc>
        <w:tc>
          <w:tcPr>
            <w:tcW w:w="1500" w:type="dxa"/>
            <w:vAlign w:val="center"/>
          </w:tcPr>
          <w:p>
            <w:pPr>
              <w:jc w:val="right"/>
            </w:pPr>
            <w:r>
              <w:rPr>
                <w:rFonts w:ascii="宋体" w:hAnsi="宋体" w:eastAsia="宋体" w:cs="宋体"/>
                <w:b w:val="0"/>
                <w:i w:val="0"/>
                <w:color w:val="000000"/>
                <w:sz w:val="17"/>
              </w:rPr>
              <w:t>6,088.06</w:t>
            </w:r>
          </w:p>
        </w:tc>
        <w:tc>
          <w:tcPr>
            <w:tcW w:w="1500" w:type="dxa"/>
            <w:vAlign w:val="center"/>
          </w:tcPr>
          <w:p>
            <w:pPr>
              <w:jc w:val="right"/>
            </w:pPr>
            <w:r>
              <w:rPr>
                <w:rFonts w:ascii="宋体" w:hAnsi="宋体" w:eastAsia="宋体" w:cs="宋体"/>
                <w:b w:val="0"/>
                <w:i w:val="0"/>
                <w:color w:val="000000"/>
                <w:sz w:val="17"/>
              </w:rPr>
              <w:t>5,856.72</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231.34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pPr>
        <w:pStyle w:val="3"/>
        <w:bidi w:val="0"/>
        <w:jc w:val="center"/>
        <w:outlineLvl w:val="1"/>
        <w:rPr>
          <w:rFonts w:hint="eastAsia" w:ascii="楷体" w:hAnsi="楷体" w:eastAsia="楷体" w:cs="楷体"/>
          <w:b w:val="0"/>
          <w:bCs/>
          <w:lang w:val="en-US" w:eastAsia="zh-CN"/>
        </w:rPr>
      </w:pPr>
      <w:bookmarkStart w:id="12" w:name="_Toc_1_2_0000000038"/>
      <w:bookmarkStart w:id="13" w:name="_Toc26224"/>
      <w:r>
        <w:rPr>
          <w:rFonts w:hint="eastAsia" w:ascii="楷体" w:hAnsi="楷体" w:eastAsia="楷体" w:cs="楷体"/>
          <w:b w:val="0"/>
          <w:bCs/>
          <w:lang w:val="en-US" w:eastAsia="zh-CN"/>
        </w:rPr>
        <w:t>2023年度收入决算表（分科目）</w:t>
      </w:r>
      <w:bookmarkEnd w:id="12"/>
      <w:bookmarkEnd w:id="13"/>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296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920" w:type="dxa"/>
            <w:gridSpan w:val="4"/>
            <w:vAlign w:val="center"/>
          </w:tcPr>
          <w:p>
            <w:pPr>
              <w:jc w:val="center"/>
            </w:pPr>
            <w:r>
              <w:rPr>
                <w:rFonts w:ascii="宋体" w:hAnsi="宋体" w:eastAsia="宋体" w:cs="宋体"/>
                <w:b w:val="0"/>
                <w:i w:val="0"/>
                <w:color w:val="000000"/>
                <w:sz w:val="17"/>
              </w:rPr>
              <w:t>项   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96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96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20" w:type="dxa"/>
            <w:vMerge w:val="restart"/>
            <w:vAlign w:val="center"/>
          </w:tcPr>
          <w:p>
            <w:pPr>
              <w:jc w:val="center"/>
            </w:pPr>
            <w:r>
              <w:rPr>
                <w:rFonts w:ascii="宋体" w:hAnsi="宋体" w:eastAsia="宋体" w:cs="宋体"/>
                <w:b w:val="0"/>
                <w:i w:val="0"/>
                <w:color w:val="000000"/>
                <w:sz w:val="17"/>
              </w:rPr>
              <w:t>类</w:t>
            </w:r>
          </w:p>
        </w:tc>
        <w:tc>
          <w:tcPr>
            <w:tcW w:w="320" w:type="dxa"/>
            <w:vMerge w:val="restart"/>
            <w:vAlign w:val="center"/>
          </w:tcPr>
          <w:p>
            <w:pPr>
              <w:jc w:val="center"/>
            </w:pPr>
            <w:r>
              <w:rPr>
                <w:rFonts w:ascii="宋体" w:hAnsi="宋体" w:eastAsia="宋体" w:cs="宋体"/>
                <w:b w:val="0"/>
                <w:i w:val="0"/>
                <w:color w:val="000000"/>
                <w:sz w:val="17"/>
              </w:rPr>
              <w:t>款</w:t>
            </w:r>
          </w:p>
        </w:tc>
        <w:tc>
          <w:tcPr>
            <w:tcW w:w="320" w:type="dxa"/>
            <w:vMerge w:val="restart"/>
            <w:vAlign w:val="center"/>
          </w:tcPr>
          <w:p>
            <w:pPr>
              <w:jc w:val="center"/>
            </w:pPr>
            <w:r>
              <w:rPr>
                <w:rFonts w:ascii="宋体" w:hAnsi="宋体" w:eastAsia="宋体" w:cs="宋体"/>
                <w:b w:val="0"/>
                <w:i w:val="0"/>
                <w:color w:val="000000"/>
                <w:sz w:val="17"/>
              </w:rPr>
              <w:t>项</w:t>
            </w:r>
          </w:p>
        </w:tc>
        <w:tc>
          <w:tcPr>
            <w:tcW w:w="2960" w:type="dxa"/>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20" w:type="dxa"/>
            <w:vMerge w:val="continue"/>
            <w:vAlign w:val="center"/>
          </w:tcPr>
          <w:p/>
        </w:tc>
        <w:tc>
          <w:tcPr>
            <w:tcW w:w="320" w:type="dxa"/>
            <w:vMerge w:val="continue"/>
            <w:vAlign w:val="center"/>
          </w:tcPr>
          <w:p/>
        </w:tc>
        <w:tc>
          <w:tcPr>
            <w:tcW w:w="320" w:type="dxa"/>
            <w:vMerge w:val="continue"/>
            <w:vAlign w:val="center"/>
          </w:tcPr>
          <w:p/>
        </w:tc>
        <w:tc>
          <w:tcPr>
            <w:tcW w:w="2960" w:type="dxa"/>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val="0"/>
                <w:i w:val="0"/>
                <w:color w:val="000000"/>
                <w:sz w:val="17"/>
              </w:rPr>
              <w:t>6,088.06</w:t>
            </w:r>
          </w:p>
        </w:tc>
        <w:tc>
          <w:tcPr>
            <w:tcW w:w="1440" w:type="dxa"/>
            <w:vAlign w:val="center"/>
          </w:tcPr>
          <w:p>
            <w:pPr>
              <w:jc w:val="right"/>
            </w:pPr>
            <w:r>
              <w:rPr>
                <w:rFonts w:ascii="宋体" w:hAnsi="宋体" w:eastAsia="宋体" w:cs="宋体"/>
                <w:b w:val="0"/>
                <w:i w:val="0"/>
                <w:color w:val="000000"/>
                <w:sz w:val="17"/>
              </w:rPr>
              <w:t>5,856.72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231.34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w:t>
            </w:r>
          </w:p>
        </w:tc>
        <w:tc>
          <w:tcPr>
            <w:tcW w:w="296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4,900.01</w:t>
            </w:r>
          </w:p>
        </w:tc>
        <w:tc>
          <w:tcPr>
            <w:tcW w:w="1440" w:type="dxa"/>
            <w:vAlign w:val="center"/>
          </w:tcPr>
          <w:p>
            <w:pPr>
              <w:jc w:val="right"/>
            </w:pPr>
            <w:r>
              <w:rPr>
                <w:rFonts w:ascii="宋体" w:hAnsi="宋体" w:eastAsia="宋体" w:cs="宋体"/>
                <w:b w:val="0"/>
                <w:i w:val="0"/>
                <w:color w:val="000000"/>
                <w:sz w:val="17"/>
              </w:rPr>
              <w:t>4,668.66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231.34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w:t>
            </w:r>
          </w:p>
        </w:tc>
        <w:tc>
          <w:tcPr>
            <w:tcW w:w="296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4,900.01</w:t>
            </w:r>
          </w:p>
        </w:tc>
        <w:tc>
          <w:tcPr>
            <w:tcW w:w="1440" w:type="dxa"/>
            <w:vAlign w:val="center"/>
          </w:tcPr>
          <w:p>
            <w:pPr>
              <w:jc w:val="right"/>
            </w:pPr>
            <w:r>
              <w:rPr>
                <w:rFonts w:ascii="宋体" w:hAnsi="宋体" w:eastAsia="宋体" w:cs="宋体"/>
                <w:b w:val="0"/>
                <w:i w:val="0"/>
                <w:color w:val="000000"/>
                <w:sz w:val="17"/>
              </w:rPr>
              <w:t>4,668.66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231.34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2010601</w:t>
            </w:r>
          </w:p>
        </w:tc>
        <w:tc>
          <w:tcPr>
            <w:tcW w:w="296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4,145.19</w:t>
            </w:r>
          </w:p>
        </w:tc>
        <w:tc>
          <w:tcPr>
            <w:tcW w:w="1440" w:type="dxa"/>
            <w:vAlign w:val="center"/>
          </w:tcPr>
          <w:p>
            <w:pPr>
              <w:jc w:val="right"/>
            </w:pPr>
            <w:r>
              <w:rPr>
                <w:rFonts w:ascii="宋体" w:hAnsi="宋体" w:eastAsia="宋体" w:cs="宋体"/>
                <w:b w:val="0"/>
                <w:i w:val="0"/>
                <w:color w:val="000000"/>
                <w:sz w:val="17"/>
              </w:rPr>
              <w:t>4,145.19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2010607</w:t>
            </w:r>
          </w:p>
        </w:tc>
        <w:tc>
          <w:tcPr>
            <w:tcW w:w="2960" w:type="dxa"/>
            <w:vAlign w:val="center"/>
          </w:tcPr>
          <w:p>
            <w:pPr>
              <w:jc w:val="left"/>
            </w:pPr>
            <w:r>
              <w:rPr>
                <w:rFonts w:ascii="宋体" w:hAnsi="宋体" w:eastAsia="宋体" w:cs="宋体"/>
                <w:b w:val="0"/>
                <w:i w:val="0"/>
                <w:color w:val="000000"/>
                <w:sz w:val="17"/>
              </w:rPr>
              <w:t>信息化建设</w:t>
            </w:r>
          </w:p>
        </w:tc>
        <w:tc>
          <w:tcPr>
            <w:tcW w:w="1440" w:type="dxa"/>
            <w:vAlign w:val="center"/>
          </w:tcPr>
          <w:p>
            <w:pPr>
              <w:jc w:val="right"/>
            </w:pPr>
            <w:r>
              <w:rPr>
                <w:rFonts w:ascii="宋体" w:hAnsi="宋体" w:eastAsia="宋体" w:cs="宋体"/>
                <w:b w:val="0"/>
                <w:i w:val="0"/>
                <w:color w:val="000000"/>
                <w:sz w:val="17"/>
              </w:rPr>
              <w:t>398.15</w:t>
            </w:r>
          </w:p>
        </w:tc>
        <w:tc>
          <w:tcPr>
            <w:tcW w:w="1440" w:type="dxa"/>
            <w:vAlign w:val="center"/>
          </w:tcPr>
          <w:p>
            <w:pPr>
              <w:jc w:val="right"/>
            </w:pPr>
            <w:r>
              <w:rPr>
                <w:rFonts w:ascii="宋体" w:hAnsi="宋体" w:eastAsia="宋体" w:cs="宋体"/>
                <w:b w:val="0"/>
                <w:i w:val="0"/>
                <w:color w:val="000000"/>
                <w:sz w:val="17"/>
              </w:rPr>
              <w:t>252.63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145.52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2010608</w:t>
            </w:r>
          </w:p>
        </w:tc>
        <w:tc>
          <w:tcPr>
            <w:tcW w:w="2960" w:type="dxa"/>
            <w:vAlign w:val="center"/>
          </w:tcPr>
          <w:p>
            <w:pPr>
              <w:jc w:val="left"/>
            </w:pPr>
            <w:r>
              <w:rPr>
                <w:rFonts w:ascii="宋体" w:hAnsi="宋体" w:eastAsia="宋体" w:cs="宋体"/>
                <w:b w:val="0"/>
                <w:i w:val="0"/>
                <w:color w:val="000000"/>
                <w:sz w:val="17"/>
              </w:rPr>
              <w:t>财政委托业务支出</w:t>
            </w:r>
          </w:p>
        </w:tc>
        <w:tc>
          <w:tcPr>
            <w:tcW w:w="1440" w:type="dxa"/>
            <w:vAlign w:val="center"/>
          </w:tcPr>
          <w:p>
            <w:pPr>
              <w:jc w:val="right"/>
            </w:pPr>
            <w:r>
              <w:rPr>
                <w:rFonts w:ascii="宋体" w:hAnsi="宋体" w:eastAsia="宋体" w:cs="宋体"/>
                <w:b w:val="0"/>
                <w:i w:val="0"/>
                <w:color w:val="000000"/>
                <w:sz w:val="17"/>
              </w:rPr>
              <w:t>98.12</w:t>
            </w:r>
          </w:p>
        </w:tc>
        <w:tc>
          <w:tcPr>
            <w:tcW w:w="1440" w:type="dxa"/>
            <w:vAlign w:val="center"/>
          </w:tcPr>
          <w:p>
            <w:pPr>
              <w:jc w:val="right"/>
            </w:pPr>
            <w:r>
              <w:rPr>
                <w:rFonts w:ascii="宋体" w:hAnsi="宋体" w:eastAsia="宋体" w:cs="宋体"/>
                <w:b w:val="0"/>
                <w:i w:val="0"/>
                <w:color w:val="000000"/>
                <w:sz w:val="17"/>
              </w:rPr>
              <w:t>83.71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14.40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2010699</w:t>
            </w:r>
          </w:p>
        </w:tc>
        <w:tc>
          <w:tcPr>
            <w:tcW w:w="2960" w:type="dxa"/>
            <w:vAlign w:val="center"/>
          </w:tcPr>
          <w:p>
            <w:pPr>
              <w:jc w:val="left"/>
            </w:pPr>
            <w:r>
              <w:rPr>
                <w:rFonts w:ascii="宋体" w:hAnsi="宋体" w:eastAsia="宋体" w:cs="宋体"/>
                <w:b w:val="0"/>
                <w:i w:val="0"/>
                <w:color w:val="000000"/>
                <w:sz w:val="17"/>
              </w:rPr>
              <w:t>其他财政事务支出</w:t>
            </w:r>
          </w:p>
        </w:tc>
        <w:tc>
          <w:tcPr>
            <w:tcW w:w="1440" w:type="dxa"/>
            <w:vAlign w:val="center"/>
          </w:tcPr>
          <w:p>
            <w:pPr>
              <w:jc w:val="right"/>
            </w:pPr>
            <w:r>
              <w:rPr>
                <w:rFonts w:ascii="宋体" w:hAnsi="宋体" w:eastAsia="宋体" w:cs="宋体"/>
                <w:b w:val="0"/>
                <w:i w:val="0"/>
                <w:color w:val="000000"/>
                <w:sz w:val="17"/>
              </w:rPr>
              <w:t>258.56</w:t>
            </w:r>
          </w:p>
        </w:tc>
        <w:tc>
          <w:tcPr>
            <w:tcW w:w="1440" w:type="dxa"/>
            <w:vAlign w:val="center"/>
          </w:tcPr>
          <w:p>
            <w:pPr>
              <w:jc w:val="right"/>
            </w:pPr>
            <w:r>
              <w:rPr>
                <w:rFonts w:ascii="宋体" w:hAnsi="宋体" w:eastAsia="宋体" w:cs="宋体"/>
                <w:b w:val="0"/>
                <w:i w:val="0"/>
                <w:color w:val="000000"/>
                <w:sz w:val="17"/>
              </w:rPr>
              <w:t>187.14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71.42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w:t>
            </w:r>
          </w:p>
        </w:tc>
        <w:tc>
          <w:tcPr>
            <w:tcW w:w="296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606.17</w:t>
            </w:r>
          </w:p>
        </w:tc>
        <w:tc>
          <w:tcPr>
            <w:tcW w:w="1440" w:type="dxa"/>
            <w:vAlign w:val="center"/>
          </w:tcPr>
          <w:p>
            <w:pPr>
              <w:jc w:val="right"/>
            </w:pPr>
            <w:r>
              <w:rPr>
                <w:rFonts w:ascii="宋体" w:hAnsi="宋体" w:eastAsia="宋体" w:cs="宋体"/>
                <w:b w:val="0"/>
                <w:i w:val="0"/>
                <w:color w:val="000000"/>
                <w:sz w:val="17"/>
              </w:rPr>
              <w:t>606.17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w:t>
            </w:r>
          </w:p>
        </w:tc>
        <w:tc>
          <w:tcPr>
            <w:tcW w:w="296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606.17</w:t>
            </w:r>
          </w:p>
        </w:tc>
        <w:tc>
          <w:tcPr>
            <w:tcW w:w="1440" w:type="dxa"/>
            <w:vAlign w:val="center"/>
          </w:tcPr>
          <w:p>
            <w:pPr>
              <w:jc w:val="right"/>
            </w:pPr>
            <w:r>
              <w:rPr>
                <w:rFonts w:ascii="宋体" w:hAnsi="宋体" w:eastAsia="宋体" w:cs="宋体"/>
                <w:b w:val="0"/>
                <w:i w:val="0"/>
                <w:color w:val="000000"/>
                <w:sz w:val="17"/>
              </w:rPr>
              <w:t>606.17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2080505</w:t>
            </w:r>
          </w:p>
        </w:tc>
        <w:tc>
          <w:tcPr>
            <w:tcW w:w="296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315.66</w:t>
            </w:r>
          </w:p>
        </w:tc>
        <w:tc>
          <w:tcPr>
            <w:tcW w:w="1440" w:type="dxa"/>
            <w:vAlign w:val="center"/>
          </w:tcPr>
          <w:p>
            <w:pPr>
              <w:jc w:val="right"/>
            </w:pPr>
            <w:r>
              <w:rPr>
                <w:rFonts w:ascii="宋体" w:hAnsi="宋体" w:eastAsia="宋体" w:cs="宋体"/>
                <w:b w:val="0"/>
                <w:i w:val="0"/>
                <w:color w:val="000000"/>
                <w:sz w:val="17"/>
              </w:rPr>
              <w:t>315.66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2080506</w:t>
            </w:r>
          </w:p>
        </w:tc>
        <w:tc>
          <w:tcPr>
            <w:tcW w:w="2960" w:type="dxa"/>
            <w:vAlign w:val="center"/>
          </w:tcPr>
          <w:p>
            <w:pPr>
              <w:jc w:val="left"/>
            </w:pPr>
            <w:r>
              <w:rPr>
                <w:rFonts w:ascii="宋体" w:hAnsi="宋体" w:eastAsia="宋体" w:cs="宋体"/>
                <w:b w:val="0"/>
                <w:i w:val="0"/>
                <w:color w:val="000000"/>
                <w:sz w:val="17"/>
              </w:rPr>
              <w:t>机关事业单位职业年金缴费支出</w:t>
            </w:r>
          </w:p>
        </w:tc>
        <w:tc>
          <w:tcPr>
            <w:tcW w:w="1440" w:type="dxa"/>
            <w:vAlign w:val="center"/>
          </w:tcPr>
          <w:p>
            <w:pPr>
              <w:jc w:val="right"/>
            </w:pPr>
            <w:r>
              <w:rPr>
                <w:rFonts w:ascii="宋体" w:hAnsi="宋体" w:eastAsia="宋体" w:cs="宋体"/>
                <w:b w:val="0"/>
                <w:i w:val="0"/>
                <w:color w:val="000000"/>
                <w:sz w:val="17"/>
              </w:rPr>
              <w:t>157.83</w:t>
            </w:r>
          </w:p>
        </w:tc>
        <w:tc>
          <w:tcPr>
            <w:tcW w:w="1440" w:type="dxa"/>
            <w:vAlign w:val="center"/>
          </w:tcPr>
          <w:p>
            <w:pPr>
              <w:jc w:val="right"/>
            </w:pPr>
            <w:r>
              <w:rPr>
                <w:rFonts w:ascii="宋体" w:hAnsi="宋体" w:eastAsia="宋体" w:cs="宋体"/>
                <w:b w:val="0"/>
                <w:i w:val="0"/>
                <w:color w:val="000000"/>
                <w:sz w:val="17"/>
              </w:rPr>
              <w:t>157.83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2080599</w:t>
            </w:r>
          </w:p>
        </w:tc>
        <w:tc>
          <w:tcPr>
            <w:tcW w:w="2960" w:type="dxa"/>
            <w:vAlign w:val="center"/>
          </w:tcPr>
          <w:p>
            <w:pPr>
              <w:jc w:val="left"/>
            </w:pPr>
            <w:r>
              <w:rPr>
                <w:rFonts w:ascii="宋体" w:hAnsi="宋体" w:eastAsia="宋体" w:cs="宋体"/>
                <w:b w:val="0"/>
                <w:i w:val="0"/>
                <w:color w:val="000000"/>
                <w:sz w:val="17"/>
              </w:rPr>
              <w:t>其他行政事业单位养老支出</w:t>
            </w:r>
          </w:p>
        </w:tc>
        <w:tc>
          <w:tcPr>
            <w:tcW w:w="1440" w:type="dxa"/>
            <w:vAlign w:val="center"/>
          </w:tcPr>
          <w:p>
            <w:pPr>
              <w:jc w:val="right"/>
            </w:pPr>
            <w:r>
              <w:rPr>
                <w:rFonts w:ascii="宋体" w:hAnsi="宋体" w:eastAsia="宋体" w:cs="宋体"/>
                <w:b w:val="0"/>
                <w:i w:val="0"/>
                <w:color w:val="000000"/>
                <w:sz w:val="17"/>
              </w:rPr>
              <w:t>132.68</w:t>
            </w:r>
          </w:p>
        </w:tc>
        <w:tc>
          <w:tcPr>
            <w:tcW w:w="1440" w:type="dxa"/>
            <w:vAlign w:val="center"/>
          </w:tcPr>
          <w:p>
            <w:pPr>
              <w:jc w:val="right"/>
            </w:pPr>
            <w:r>
              <w:rPr>
                <w:rFonts w:ascii="宋体" w:hAnsi="宋体" w:eastAsia="宋体" w:cs="宋体"/>
                <w:b w:val="0"/>
                <w:i w:val="0"/>
                <w:color w:val="000000"/>
                <w:sz w:val="17"/>
              </w:rPr>
              <w:t>132.68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210</w:t>
            </w:r>
          </w:p>
        </w:tc>
        <w:tc>
          <w:tcPr>
            <w:tcW w:w="296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94.32</w:t>
            </w:r>
          </w:p>
        </w:tc>
        <w:tc>
          <w:tcPr>
            <w:tcW w:w="1440" w:type="dxa"/>
            <w:vAlign w:val="center"/>
          </w:tcPr>
          <w:p>
            <w:pPr>
              <w:jc w:val="right"/>
            </w:pPr>
            <w:r>
              <w:rPr>
                <w:rFonts w:ascii="宋体" w:hAnsi="宋体" w:eastAsia="宋体" w:cs="宋体"/>
                <w:b w:val="0"/>
                <w:i w:val="0"/>
                <w:color w:val="000000"/>
                <w:sz w:val="17"/>
              </w:rPr>
              <w:t>94.32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21011</w:t>
            </w:r>
          </w:p>
        </w:tc>
        <w:tc>
          <w:tcPr>
            <w:tcW w:w="296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94.32</w:t>
            </w:r>
          </w:p>
        </w:tc>
        <w:tc>
          <w:tcPr>
            <w:tcW w:w="1440" w:type="dxa"/>
            <w:vAlign w:val="center"/>
          </w:tcPr>
          <w:p>
            <w:pPr>
              <w:jc w:val="right"/>
            </w:pPr>
            <w:r>
              <w:rPr>
                <w:rFonts w:ascii="宋体" w:hAnsi="宋体" w:eastAsia="宋体" w:cs="宋体"/>
                <w:b w:val="0"/>
                <w:i w:val="0"/>
                <w:color w:val="000000"/>
                <w:sz w:val="17"/>
              </w:rPr>
              <w:t>94.32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2101199</w:t>
            </w:r>
          </w:p>
        </w:tc>
        <w:tc>
          <w:tcPr>
            <w:tcW w:w="2960" w:type="dxa"/>
            <w:vAlign w:val="center"/>
          </w:tcPr>
          <w:p>
            <w:pPr>
              <w:jc w:val="left"/>
            </w:pPr>
            <w:r>
              <w:rPr>
                <w:rFonts w:ascii="宋体" w:hAnsi="宋体" w:eastAsia="宋体" w:cs="宋体"/>
                <w:b w:val="0"/>
                <w:i w:val="0"/>
                <w:color w:val="000000"/>
                <w:sz w:val="17"/>
              </w:rPr>
              <w:t>其他行政事业单位医疗支出</w:t>
            </w:r>
          </w:p>
        </w:tc>
        <w:tc>
          <w:tcPr>
            <w:tcW w:w="1440" w:type="dxa"/>
            <w:vAlign w:val="center"/>
          </w:tcPr>
          <w:p>
            <w:pPr>
              <w:jc w:val="right"/>
            </w:pPr>
            <w:r>
              <w:rPr>
                <w:rFonts w:ascii="宋体" w:hAnsi="宋体" w:eastAsia="宋体" w:cs="宋体"/>
                <w:b w:val="0"/>
                <w:i w:val="0"/>
                <w:color w:val="000000"/>
                <w:sz w:val="17"/>
              </w:rPr>
              <w:t>94.32</w:t>
            </w:r>
          </w:p>
        </w:tc>
        <w:tc>
          <w:tcPr>
            <w:tcW w:w="1440" w:type="dxa"/>
            <w:vAlign w:val="center"/>
          </w:tcPr>
          <w:p>
            <w:pPr>
              <w:jc w:val="right"/>
            </w:pPr>
            <w:r>
              <w:rPr>
                <w:rFonts w:ascii="宋体" w:hAnsi="宋体" w:eastAsia="宋体" w:cs="宋体"/>
                <w:b w:val="0"/>
                <w:i w:val="0"/>
                <w:color w:val="000000"/>
                <w:sz w:val="17"/>
              </w:rPr>
              <w:t>94.32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w:t>
            </w:r>
          </w:p>
        </w:tc>
        <w:tc>
          <w:tcPr>
            <w:tcW w:w="296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487.56</w:t>
            </w:r>
          </w:p>
        </w:tc>
        <w:tc>
          <w:tcPr>
            <w:tcW w:w="1440" w:type="dxa"/>
            <w:vAlign w:val="center"/>
          </w:tcPr>
          <w:p>
            <w:pPr>
              <w:jc w:val="right"/>
            </w:pPr>
            <w:r>
              <w:rPr>
                <w:rFonts w:ascii="宋体" w:hAnsi="宋体" w:eastAsia="宋体" w:cs="宋体"/>
                <w:b w:val="0"/>
                <w:i w:val="0"/>
                <w:color w:val="000000"/>
                <w:sz w:val="17"/>
              </w:rPr>
              <w:t>487.56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22102</w:t>
            </w:r>
          </w:p>
        </w:tc>
        <w:tc>
          <w:tcPr>
            <w:tcW w:w="296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487.56</w:t>
            </w:r>
          </w:p>
        </w:tc>
        <w:tc>
          <w:tcPr>
            <w:tcW w:w="1440" w:type="dxa"/>
            <w:vAlign w:val="center"/>
          </w:tcPr>
          <w:p>
            <w:pPr>
              <w:jc w:val="right"/>
            </w:pPr>
            <w:r>
              <w:rPr>
                <w:rFonts w:ascii="宋体" w:hAnsi="宋体" w:eastAsia="宋体" w:cs="宋体"/>
                <w:b w:val="0"/>
                <w:i w:val="0"/>
                <w:color w:val="000000"/>
                <w:sz w:val="17"/>
              </w:rPr>
              <w:t>487.56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2210201</w:t>
            </w:r>
          </w:p>
        </w:tc>
        <w:tc>
          <w:tcPr>
            <w:tcW w:w="296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487.56</w:t>
            </w:r>
          </w:p>
        </w:tc>
        <w:tc>
          <w:tcPr>
            <w:tcW w:w="1440" w:type="dxa"/>
            <w:vAlign w:val="center"/>
          </w:tcPr>
          <w:p>
            <w:pPr>
              <w:jc w:val="right"/>
            </w:pPr>
            <w:r>
              <w:rPr>
                <w:rFonts w:ascii="宋体" w:hAnsi="宋体" w:eastAsia="宋体" w:cs="宋体"/>
                <w:b w:val="0"/>
                <w:i w:val="0"/>
                <w:color w:val="000000"/>
                <w:sz w:val="17"/>
              </w:rPr>
              <w:t>487.56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4" w:name="_Toc_1_2_0000000039"/>
      <w:bookmarkStart w:id="15" w:name="_Toc13265"/>
      <w:r>
        <w:rPr>
          <w:rFonts w:hint="eastAsia" w:ascii="楷体" w:hAnsi="楷体" w:eastAsia="楷体" w:cs="楷体"/>
          <w:b w:val="0"/>
          <w:bCs/>
          <w:lang w:val="en-US" w:eastAsia="zh-CN"/>
        </w:rPr>
        <w:t>2023年度支出决算表（分单位）</w:t>
      </w:r>
      <w:bookmarkEnd w:id="14"/>
      <w:bookmarkEnd w:id="15"/>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20"/>
        <w:gridCol w:w="1640"/>
        <w:gridCol w:w="1640"/>
        <w:gridCol w:w="1640"/>
        <w:gridCol w:w="1640"/>
        <w:gridCol w:w="1640"/>
        <w:gridCol w:w="1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Merge w:val="restart"/>
            <w:vAlign w:val="center"/>
          </w:tcPr>
          <w:p>
            <w:pPr>
              <w:jc w:val="center"/>
            </w:pPr>
            <w:r>
              <w:rPr>
                <w:rFonts w:ascii="宋体" w:hAnsi="宋体" w:eastAsia="宋体" w:cs="宋体"/>
                <w:b w:val="0"/>
                <w:i w:val="0"/>
                <w:color w:val="000000"/>
                <w:sz w:val="19"/>
              </w:rPr>
              <w:t>单位名称</w:t>
            </w:r>
          </w:p>
        </w:tc>
        <w:tc>
          <w:tcPr>
            <w:tcW w:w="1640" w:type="dxa"/>
            <w:vMerge w:val="restart"/>
            <w:vAlign w:val="center"/>
          </w:tcPr>
          <w:p>
            <w:pPr>
              <w:jc w:val="center"/>
            </w:pPr>
            <w:r>
              <w:rPr>
                <w:rFonts w:ascii="宋体" w:hAnsi="宋体" w:eastAsia="宋体" w:cs="宋体"/>
                <w:b w:val="0"/>
                <w:i w:val="0"/>
                <w:color w:val="000000"/>
                <w:sz w:val="19"/>
              </w:rPr>
              <w:t>本年支出合计</w:t>
            </w:r>
          </w:p>
        </w:tc>
        <w:tc>
          <w:tcPr>
            <w:tcW w:w="1640" w:type="dxa"/>
            <w:vMerge w:val="restart"/>
            <w:vAlign w:val="center"/>
          </w:tcPr>
          <w:p>
            <w:pPr>
              <w:jc w:val="center"/>
            </w:pPr>
            <w:r>
              <w:rPr>
                <w:rFonts w:ascii="宋体" w:hAnsi="宋体" w:eastAsia="宋体" w:cs="宋体"/>
                <w:b w:val="0"/>
                <w:i w:val="0"/>
                <w:color w:val="000000"/>
                <w:sz w:val="19"/>
              </w:rPr>
              <w:t>基本支出</w:t>
            </w:r>
          </w:p>
        </w:tc>
        <w:tc>
          <w:tcPr>
            <w:tcW w:w="1640" w:type="dxa"/>
            <w:vMerge w:val="restart"/>
            <w:vAlign w:val="center"/>
          </w:tcPr>
          <w:p>
            <w:pPr>
              <w:jc w:val="center"/>
            </w:pPr>
            <w:r>
              <w:rPr>
                <w:rFonts w:ascii="宋体" w:hAnsi="宋体" w:eastAsia="宋体" w:cs="宋体"/>
                <w:b w:val="0"/>
                <w:i w:val="0"/>
                <w:color w:val="000000"/>
                <w:sz w:val="19"/>
              </w:rPr>
              <w:t>项目支出</w:t>
            </w:r>
          </w:p>
        </w:tc>
        <w:tc>
          <w:tcPr>
            <w:tcW w:w="1640" w:type="dxa"/>
            <w:vMerge w:val="restart"/>
            <w:vAlign w:val="center"/>
          </w:tcPr>
          <w:p>
            <w:pPr>
              <w:jc w:val="center"/>
            </w:pPr>
            <w:r>
              <w:rPr>
                <w:rFonts w:ascii="宋体" w:hAnsi="宋体" w:eastAsia="宋体" w:cs="宋体"/>
                <w:b w:val="0"/>
                <w:i w:val="0"/>
                <w:color w:val="000000"/>
                <w:sz w:val="19"/>
              </w:rPr>
              <w:t>上缴上级支出</w:t>
            </w:r>
          </w:p>
        </w:tc>
        <w:tc>
          <w:tcPr>
            <w:tcW w:w="1640" w:type="dxa"/>
            <w:vMerge w:val="restart"/>
            <w:vAlign w:val="center"/>
          </w:tcPr>
          <w:p>
            <w:pPr>
              <w:jc w:val="center"/>
            </w:pPr>
            <w:r>
              <w:rPr>
                <w:rFonts w:ascii="宋体" w:hAnsi="宋体" w:eastAsia="宋体" w:cs="宋体"/>
                <w:b w:val="0"/>
                <w:i w:val="0"/>
                <w:color w:val="000000"/>
                <w:sz w:val="19"/>
              </w:rPr>
              <w:t>经营支出</w:t>
            </w:r>
          </w:p>
        </w:tc>
        <w:tc>
          <w:tcPr>
            <w:tcW w:w="163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栏次</w:t>
            </w:r>
          </w:p>
        </w:tc>
        <w:tc>
          <w:tcPr>
            <w:tcW w:w="1640" w:type="dxa"/>
            <w:vAlign w:val="center"/>
          </w:tcPr>
          <w:p>
            <w:pPr>
              <w:jc w:val="center"/>
            </w:pPr>
            <w:r>
              <w:rPr>
                <w:rFonts w:ascii="宋体" w:hAnsi="宋体" w:eastAsia="宋体" w:cs="宋体"/>
                <w:b w:val="0"/>
                <w:i w:val="0"/>
                <w:color w:val="000000"/>
                <w:sz w:val="19"/>
              </w:rPr>
              <w:t>1</w:t>
            </w:r>
          </w:p>
        </w:tc>
        <w:tc>
          <w:tcPr>
            <w:tcW w:w="1640" w:type="dxa"/>
            <w:vAlign w:val="center"/>
          </w:tcPr>
          <w:p>
            <w:pPr>
              <w:jc w:val="center"/>
            </w:pPr>
            <w:r>
              <w:rPr>
                <w:rFonts w:ascii="宋体" w:hAnsi="宋体" w:eastAsia="宋体" w:cs="宋体"/>
                <w:b w:val="0"/>
                <w:i w:val="0"/>
                <w:color w:val="000000"/>
                <w:sz w:val="19"/>
              </w:rPr>
              <w:t>2</w:t>
            </w:r>
          </w:p>
        </w:tc>
        <w:tc>
          <w:tcPr>
            <w:tcW w:w="1640" w:type="dxa"/>
            <w:vAlign w:val="center"/>
          </w:tcPr>
          <w:p>
            <w:pPr>
              <w:jc w:val="center"/>
            </w:pPr>
            <w:r>
              <w:rPr>
                <w:rFonts w:ascii="宋体" w:hAnsi="宋体" w:eastAsia="宋体" w:cs="宋体"/>
                <w:b w:val="0"/>
                <w:i w:val="0"/>
                <w:color w:val="000000"/>
                <w:sz w:val="19"/>
              </w:rPr>
              <w:t>3</w:t>
            </w:r>
          </w:p>
        </w:tc>
        <w:tc>
          <w:tcPr>
            <w:tcW w:w="1640" w:type="dxa"/>
            <w:vAlign w:val="center"/>
          </w:tcPr>
          <w:p>
            <w:pPr>
              <w:jc w:val="center"/>
            </w:pPr>
            <w:r>
              <w:rPr>
                <w:rFonts w:ascii="宋体" w:hAnsi="宋体" w:eastAsia="宋体" w:cs="宋体"/>
                <w:b w:val="0"/>
                <w:i w:val="0"/>
                <w:color w:val="000000"/>
                <w:sz w:val="19"/>
              </w:rPr>
              <w:t>4</w:t>
            </w:r>
          </w:p>
        </w:tc>
        <w:tc>
          <w:tcPr>
            <w:tcW w:w="1640" w:type="dxa"/>
            <w:vAlign w:val="center"/>
          </w:tcPr>
          <w:p>
            <w:pPr>
              <w:jc w:val="center"/>
            </w:pPr>
            <w:r>
              <w:rPr>
                <w:rFonts w:ascii="宋体" w:hAnsi="宋体" w:eastAsia="宋体" w:cs="宋体"/>
                <w:b w:val="0"/>
                <w:i w:val="0"/>
                <w:color w:val="000000"/>
                <w:sz w:val="19"/>
              </w:rPr>
              <w:t>5</w:t>
            </w:r>
          </w:p>
        </w:tc>
        <w:tc>
          <w:tcPr>
            <w:tcW w:w="163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合计</w:t>
            </w:r>
          </w:p>
        </w:tc>
        <w:tc>
          <w:tcPr>
            <w:tcW w:w="1640" w:type="dxa"/>
            <w:vAlign w:val="center"/>
          </w:tcPr>
          <w:p>
            <w:pPr>
              <w:jc w:val="right"/>
            </w:pPr>
            <w:r>
              <w:rPr>
                <w:rFonts w:ascii="宋体" w:hAnsi="宋体" w:eastAsia="宋体" w:cs="宋体"/>
                <w:b w:val="0"/>
                <w:i w:val="0"/>
                <w:color w:val="000000"/>
                <w:sz w:val="19"/>
              </w:rPr>
              <w:t>6,088.06</w:t>
            </w:r>
          </w:p>
        </w:tc>
        <w:tc>
          <w:tcPr>
            <w:tcW w:w="1640" w:type="dxa"/>
            <w:vAlign w:val="center"/>
          </w:tcPr>
          <w:p>
            <w:pPr>
              <w:jc w:val="right"/>
            </w:pPr>
            <w:r>
              <w:rPr>
                <w:rFonts w:ascii="宋体" w:hAnsi="宋体" w:eastAsia="宋体" w:cs="宋体"/>
                <w:b w:val="0"/>
                <w:i w:val="0"/>
                <w:color w:val="000000"/>
                <w:sz w:val="19"/>
              </w:rPr>
              <w:t>5,333.24</w:t>
            </w:r>
          </w:p>
        </w:tc>
        <w:tc>
          <w:tcPr>
            <w:tcW w:w="1640" w:type="dxa"/>
            <w:vAlign w:val="center"/>
          </w:tcPr>
          <w:p>
            <w:pPr>
              <w:jc w:val="right"/>
            </w:pPr>
            <w:r>
              <w:rPr>
                <w:rFonts w:ascii="宋体" w:hAnsi="宋体" w:eastAsia="宋体" w:cs="宋体"/>
                <w:b w:val="0"/>
                <w:i w:val="0"/>
                <w:color w:val="000000"/>
                <w:sz w:val="19"/>
              </w:rPr>
              <w:t>754.82</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Align w:val="center"/>
          </w:tcPr>
          <w:p>
            <w:pPr>
              <w:jc w:val="left"/>
            </w:pPr>
            <w:r>
              <w:rPr>
                <w:rFonts w:ascii="宋体" w:hAnsi="宋体" w:eastAsia="宋体" w:cs="宋体"/>
                <w:b w:val="0"/>
                <w:i w:val="0"/>
                <w:color w:val="000000"/>
                <w:sz w:val="19"/>
              </w:rPr>
              <w:t>衢州市财政局</w:t>
            </w:r>
          </w:p>
        </w:tc>
        <w:tc>
          <w:tcPr>
            <w:tcW w:w="1640" w:type="dxa"/>
            <w:vAlign w:val="center"/>
          </w:tcPr>
          <w:p>
            <w:pPr>
              <w:jc w:val="right"/>
            </w:pPr>
            <w:r>
              <w:rPr>
                <w:rFonts w:ascii="宋体" w:hAnsi="宋体" w:eastAsia="宋体" w:cs="宋体"/>
                <w:b w:val="0"/>
                <w:i w:val="0"/>
                <w:color w:val="000000"/>
                <w:sz w:val="19"/>
              </w:rPr>
              <w:t>6,088.06</w:t>
            </w:r>
          </w:p>
        </w:tc>
        <w:tc>
          <w:tcPr>
            <w:tcW w:w="1640" w:type="dxa"/>
            <w:vAlign w:val="center"/>
          </w:tcPr>
          <w:p>
            <w:pPr>
              <w:jc w:val="right"/>
            </w:pPr>
            <w:r>
              <w:rPr>
                <w:rFonts w:ascii="宋体" w:hAnsi="宋体" w:eastAsia="宋体" w:cs="宋体"/>
                <w:b w:val="0"/>
                <w:i w:val="0"/>
                <w:color w:val="000000"/>
                <w:sz w:val="19"/>
              </w:rPr>
              <w:t>5,333.24</w:t>
            </w:r>
          </w:p>
        </w:tc>
        <w:tc>
          <w:tcPr>
            <w:tcW w:w="1640" w:type="dxa"/>
            <w:vAlign w:val="center"/>
          </w:tcPr>
          <w:p>
            <w:pPr>
              <w:jc w:val="right"/>
            </w:pPr>
            <w:r>
              <w:rPr>
                <w:rFonts w:ascii="宋体" w:hAnsi="宋体" w:eastAsia="宋体" w:cs="宋体"/>
                <w:b w:val="0"/>
                <w:i w:val="0"/>
                <w:color w:val="000000"/>
                <w:sz w:val="19"/>
              </w:rPr>
              <w:t>754.82</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val="0"/>
          <w:bCs/>
          <w:lang w:val="en-US" w:eastAsia="zh-CN"/>
        </w:rPr>
      </w:pPr>
      <w:bookmarkStart w:id="16" w:name="_Toc5207"/>
      <w:bookmarkStart w:id="17" w:name="_Toc_1_2_0000000040"/>
      <w:r>
        <w:rPr>
          <w:rFonts w:hint="eastAsia" w:ascii="楷体" w:hAnsi="楷体" w:eastAsia="楷体" w:cs="楷体"/>
          <w:b w:val="0"/>
          <w:bCs/>
          <w:lang w:val="en-US" w:eastAsia="zh-CN"/>
        </w:rPr>
        <w:t>2023年度支出决算表（分科目）</w:t>
      </w:r>
      <w:bookmarkEnd w:id="16"/>
      <w:bookmarkEnd w:id="17"/>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val="0"/>
                <w:i w:val="0"/>
                <w:color w:val="000000"/>
                <w:sz w:val="19"/>
              </w:rPr>
              <w:t>6,088.06</w:t>
            </w:r>
          </w:p>
        </w:tc>
        <w:tc>
          <w:tcPr>
            <w:tcW w:w="1600" w:type="dxa"/>
            <w:vAlign w:val="center"/>
          </w:tcPr>
          <w:p>
            <w:pPr>
              <w:jc w:val="right"/>
            </w:pPr>
            <w:r>
              <w:rPr>
                <w:rFonts w:ascii="宋体" w:hAnsi="宋体" w:eastAsia="宋体" w:cs="宋体"/>
                <w:b w:val="0"/>
                <w:i w:val="0"/>
                <w:color w:val="000000"/>
                <w:sz w:val="19"/>
              </w:rPr>
              <w:t>5,333.24</w:t>
            </w:r>
          </w:p>
        </w:tc>
        <w:tc>
          <w:tcPr>
            <w:tcW w:w="1600" w:type="dxa"/>
            <w:vAlign w:val="center"/>
          </w:tcPr>
          <w:p>
            <w:pPr>
              <w:jc w:val="right"/>
            </w:pPr>
            <w:r>
              <w:rPr>
                <w:rFonts w:ascii="宋体" w:hAnsi="宋体" w:eastAsia="宋体" w:cs="宋体"/>
                <w:b w:val="0"/>
                <w:i w:val="0"/>
                <w:color w:val="000000"/>
                <w:sz w:val="19"/>
              </w:rPr>
              <w:t>754.82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4,900.01</w:t>
            </w:r>
          </w:p>
        </w:tc>
        <w:tc>
          <w:tcPr>
            <w:tcW w:w="1600" w:type="dxa"/>
            <w:vAlign w:val="center"/>
          </w:tcPr>
          <w:p>
            <w:pPr>
              <w:jc w:val="right"/>
            </w:pPr>
            <w:r>
              <w:rPr>
                <w:rFonts w:ascii="宋体" w:hAnsi="宋体" w:eastAsia="宋体" w:cs="宋体"/>
                <w:b w:val="0"/>
                <w:i w:val="0"/>
                <w:color w:val="000000"/>
                <w:sz w:val="19"/>
              </w:rPr>
              <w:t>4,145.19</w:t>
            </w:r>
          </w:p>
        </w:tc>
        <w:tc>
          <w:tcPr>
            <w:tcW w:w="1600" w:type="dxa"/>
            <w:vAlign w:val="center"/>
          </w:tcPr>
          <w:p>
            <w:pPr>
              <w:jc w:val="right"/>
            </w:pPr>
            <w:r>
              <w:rPr>
                <w:rFonts w:ascii="宋体" w:hAnsi="宋体" w:eastAsia="宋体" w:cs="宋体"/>
                <w:b w:val="0"/>
                <w:i w:val="0"/>
                <w:color w:val="000000"/>
                <w:sz w:val="19"/>
              </w:rPr>
              <w:t>754.82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4,900.01</w:t>
            </w:r>
          </w:p>
        </w:tc>
        <w:tc>
          <w:tcPr>
            <w:tcW w:w="1600" w:type="dxa"/>
            <w:vAlign w:val="center"/>
          </w:tcPr>
          <w:p>
            <w:pPr>
              <w:jc w:val="right"/>
            </w:pPr>
            <w:r>
              <w:rPr>
                <w:rFonts w:ascii="宋体" w:hAnsi="宋体" w:eastAsia="宋体" w:cs="宋体"/>
                <w:b w:val="0"/>
                <w:i w:val="0"/>
                <w:color w:val="000000"/>
                <w:sz w:val="19"/>
              </w:rPr>
              <w:t>4,145.19</w:t>
            </w:r>
          </w:p>
        </w:tc>
        <w:tc>
          <w:tcPr>
            <w:tcW w:w="1600" w:type="dxa"/>
            <w:vAlign w:val="center"/>
          </w:tcPr>
          <w:p>
            <w:pPr>
              <w:jc w:val="right"/>
            </w:pPr>
            <w:r>
              <w:rPr>
                <w:rFonts w:ascii="宋体" w:hAnsi="宋体" w:eastAsia="宋体" w:cs="宋体"/>
                <w:b w:val="0"/>
                <w:i w:val="0"/>
                <w:color w:val="000000"/>
                <w:sz w:val="19"/>
              </w:rPr>
              <w:t>754.82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4,145.19</w:t>
            </w:r>
          </w:p>
        </w:tc>
        <w:tc>
          <w:tcPr>
            <w:tcW w:w="1600" w:type="dxa"/>
            <w:vAlign w:val="center"/>
          </w:tcPr>
          <w:p>
            <w:pPr>
              <w:jc w:val="right"/>
            </w:pPr>
            <w:r>
              <w:rPr>
                <w:rFonts w:ascii="宋体" w:hAnsi="宋体" w:eastAsia="宋体" w:cs="宋体"/>
                <w:b w:val="0"/>
                <w:i w:val="0"/>
                <w:color w:val="000000"/>
                <w:sz w:val="19"/>
              </w:rPr>
              <w:t>4,145.19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2010607</w:t>
            </w:r>
          </w:p>
        </w:tc>
        <w:tc>
          <w:tcPr>
            <w:tcW w:w="3480" w:type="dxa"/>
            <w:vAlign w:val="center"/>
          </w:tcPr>
          <w:p>
            <w:pPr>
              <w:jc w:val="left"/>
            </w:pPr>
            <w:r>
              <w:rPr>
                <w:rFonts w:ascii="宋体" w:hAnsi="宋体" w:eastAsia="宋体" w:cs="宋体"/>
                <w:b w:val="0"/>
                <w:i w:val="0"/>
                <w:color w:val="000000"/>
                <w:sz w:val="19"/>
              </w:rPr>
              <w:t>信息化建设</w:t>
            </w:r>
          </w:p>
        </w:tc>
        <w:tc>
          <w:tcPr>
            <w:tcW w:w="1600" w:type="dxa"/>
            <w:vAlign w:val="center"/>
          </w:tcPr>
          <w:p>
            <w:pPr>
              <w:jc w:val="right"/>
            </w:pPr>
            <w:r>
              <w:rPr>
                <w:rFonts w:ascii="宋体" w:hAnsi="宋体" w:eastAsia="宋体" w:cs="宋体"/>
                <w:b w:val="0"/>
                <w:i w:val="0"/>
                <w:color w:val="000000"/>
                <w:sz w:val="19"/>
              </w:rPr>
              <w:t>398.15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398.15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2010608</w:t>
            </w:r>
          </w:p>
        </w:tc>
        <w:tc>
          <w:tcPr>
            <w:tcW w:w="3480" w:type="dxa"/>
            <w:vAlign w:val="center"/>
          </w:tcPr>
          <w:p>
            <w:pPr>
              <w:jc w:val="left"/>
            </w:pPr>
            <w:r>
              <w:rPr>
                <w:rFonts w:ascii="宋体" w:hAnsi="宋体" w:eastAsia="宋体" w:cs="宋体"/>
                <w:b w:val="0"/>
                <w:i w:val="0"/>
                <w:color w:val="000000"/>
                <w:sz w:val="19"/>
              </w:rPr>
              <w:t>财政委托业务支出</w:t>
            </w:r>
          </w:p>
        </w:tc>
        <w:tc>
          <w:tcPr>
            <w:tcW w:w="1600" w:type="dxa"/>
            <w:vAlign w:val="center"/>
          </w:tcPr>
          <w:p>
            <w:pPr>
              <w:jc w:val="right"/>
            </w:pPr>
            <w:r>
              <w:rPr>
                <w:rFonts w:ascii="宋体" w:hAnsi="宋体" w:eastAsia="宋体" w:cs="宋体"/>
                <w:b w:val="0"/>
                <w:i w:val="0"/>
                <w:color w:val="000000"/>
                <w:sz w:val="19"/>
              </w:rPr>
              <w:t>98.12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98.12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2010699</w:t>
            </w:r>
          </w:p>
        </w:tc>
        <w:tc>
          <w:tcPr>
            <w:tcW w:w="3480" w:type="dxa"/>
            <w:vAlign w:val="center"/>
          </w:tcPr>
          <w:p>
            <w:pPr>
              <w:jc w:val="left"/>
            </w:pPr>
            <w:r>
              <w:rPr>
                <w:rFonts w:ascii="宋体" w:hAnsi="宋体" w:eastAsia="宋体" w:cs="宋体"/>
                <w:b w:val="0"/>
                <w:i w:val="0"/>
                <w:color w:val="000000"/>
                <w:sz w:val="19"/>
              </w:rPr>
              <w:t>其他财政事务支出</w:t>
            </w:r>
          </w:p>
        </w:tc>
        <w:tc>
          <w:tcPr>
            <w:tcW w:w="1600" w:type="dxa"/>
            <w:vAlign w:val="center"/>
          </w:tcPr>
          <w:p>
            <w:pPr>
              <w:jc w:val="right"/>
            </w:pPr>
            <w:r>
              <w:rPr>
                <w:rFonts w:ascii="宋体" w:hAnsi="宋体" w:eastAsia="宋体" w:cs="宋体"/>
                <w:b w:val="0"/>
                <w:i w:val="0"/>
                <w:color w:val="000000"/>
                <w:sz w:val="19"/>
              </w:rPr>
              <w:t>258.56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258.56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606.17</w:t>
            </w:r>
          </w:p>
        </w:tc>
        <w:tc>
          <w:tcPr>
            <w:tcW w:w="1600" w:type="dxa"/>
            <w:vAlign w:val="center"/>
          </w:tcPr>
          <w:p>
            <w:pPr>
              <w:jc w:val="right"/>
            </w:pPr>
            <w:r>
              <w:rPr>
                <w:rFonts w:ascii="宋体" w:hAnsi="宋体" w:eastAsia="宋体" w:cs="宋体"/>
                <w:b w:val="0"/>
                <w:i w:val="0"/>
                <w:color w:val="000000"/>
                <w:sz w:val="19"/>
              </w:rPr>
              <w:t>606.17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606.17</w:t>
            </w:r>
          </w:p>
        </w:tc>
        <w:tc>
          <w:tcPr>
            <w:tcW w:w="1600" w:type="dxa"/>
            <w:vAlign w:val="center"/>
          </w:tcPr>
          <w:p>
            <w:pPr>
              <w:jc w:val="right"/>
            </w:pPr>
            <w:r>
              <w:rPr>
                <w:rFonts w:ascii="宋体" w:hAnsi="宋体" w:eastAsia="宋体" w:cs="宋体"/>
                <w:b w:val="0"/>
                <w:i w:val="0"/>
                <w:color w:val="000000"/>
                <w:sz w:val="19"/>
              </w:rPr>
              <w:t>606.17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315.66</w:t>
            </w:r>
          </w:p>
        </w:tc>
        <w:tc>
          <w:tcPr>
            <w:tcW w:w="1600" w:type="dxa"/>
            <w:vAlign w:val="center"/>
          </w:tcPr>
          <w:p>
            <w:pPr>
              <w:jc w:val="right"/>
            </w:pPr>
            <w:r>
              <w:rPr>
                <w:rFonts w:ascii="宋体" w:hAnsi="宋体" w:eastAsia="宋体" w:cs="宋体"/>
                <w:b w:val="0"/>
                <w:i w:val="0"/>
                <w:color w:val="000000"/>
                <w:sz w:val="19"/>
              </w:rPr>
              <w:t>315.66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2080506</w:t>
            </w:r>
          </w:p>
        </w:tc>
        <w:tc>
          <w:tcPr>
            <w:tcW w:w="3480" w:type="dxa"/>
            <w:vAlign w:val="center"/>
          </w:tcPr>
          <w:p>
            <w:pPr>
              <w:jc w:val="left"/>
            </w:pPr>
            <w:r>
              <w:rPr>
                <w:rFonts w:ascii="宋体" w:hAnsi="宋体" w:eastAsia="宋体" w:cs="宋体"/>
                <w:b w:val="0"/>
                <w:i w:val="0"/>
                <w:color w:val="000000"/>
                <w:sz w:val="19"/>
              </w:rPr>
              <w:t>机关事业单位职业年金缴费支出</w:t>
            </w:r>
          </w:p>
        </w:tc>
        <w:tc>
          <w:tcPr>
            <w:tcW w:w="1600" w:type="dxa"/>
            <w:vAlign w:val="center"/>
          </w:tcPr>
          <w:p>
            <w:pPr>
              <w:jc w:val="right"/>
            </w:pPr>
            <w:r>
              <w:rPr>
                <w:rFonts w:ascii="宋体" w:hAnsi="宋体" w:eastAsia="宋体" w:cs="宋体"/>
                <w:b w:val="0"/>
                <w:i w:val="0"/>
                <w:color w:val="000000"/>
                <w:sz w:val="19"/>
              </w:rPr>
              <w:t>157.83</w:t>
            </w:r>
          </w:p>
        </w:tc>
        <w:tc>
          <w:tcPr>
            <w:tcW w:w="1600" w:type="dxa"/>
            <w:vAlign w:val="center"/>
          </w:tcPr>
          <w:p>
            <w:pPr>
              <w:jc w:val="right"/>
            </w:pPr>
            <w:r>
              <w:rPr>
                <w:rFonts w:ascii="宋体" w:hAnsi="宋体" w:eastAsia="宋体" w:cs="宋体"/>
                <w:b w:val="0"/>
                <w:i w:val="0"/>
                <w:color w:val="000000"/>
                <w:sz w:val="19"/>
              </w:rPr>
              <w:t>157.83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2080599</w:t>
            </w:r>
          </w:p>
        </w:tc>
        <w:tc>
          <w:tcPr>
            <w:tcW w:w="3480" w:type="dxa"/>
            <w:vAlign w:val="center"/>
          </w:tcPr>
          <w:p>
            <w:pPr>
              <w:jc w:val="left"/>
            </w:pPr>
            <w:r>
              <w:rPr>
                <w:rFonts w:ascii="宋体" w:hAnsi="宋体" w:eastAsia="宋体" w:cs="宋体"/>
                <w:b w:val="0"/>
                <w:i w:val="0"/>
                <w:color w:val="000000"/>
                <w:sz w:val="19"/>
              </w:rPr>
              <w:t>其他行政事业单位养老支出</w:t>
            </w:r>
          </w:p>
        </w:tc>
        <w:tc>
          <w:tcPr>
            <w:tcW w:w="1600" w:type="dxa"/>
            <w:vAlign w:val="center"/>
          </w:tcPr>
          <w:p>
            <w:pPr>
              <w:jc w:val="right"/>
            </w:pPr>
            <w:r>
              <w:rPr>
                <w:rFonts w:ascii="宋体" w:hAnsi="宋体" w:eastAsia="宋体" w:cs="宋体"/>
                <w:b w:val="0"/>
                <w:i w:val="0"/>
                <w:color w:val="000000"/>
                <w:sz w:val="19"/>
              </w:rPr>
              <w:t>132.68</w:t>
            </w:r>
          </w:p>
        </w:tc>
        <w:tc>
          <w:tcPr>
            <w:tcW w:w="1600" w:type="dxa"/>
            <w:vAlign w:val="center"/>
          </w:tcPr>
          <w:p>
            <w:pPr>
              <w:jc w:val="right"/>
            </w:pPr>
            <w:r>
              <w:rPr>
                <w:rFonts w:ascii="宋体" w:hAnsi="宋体" w:eastAsia="宋体" w:cs="宋体"/>
                <w:b w:val="0"/>
                <w:i w:val="0"/>
                <w:color w:val="000000"/>
                <w:sz w:val="19"/>
              </w:rPr>
              <w:t>132.68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94.32</w:t>
            </w:r>
          </w:p>
        </w:tc>
        <w:tc>
          <w:tcPr>
            <w:tcW w:w="1600" w:type="dxa"/>
            <w:vAlign w:val="center"/>
          </w:tcPr>
          <w:p>
            <w:pPr>
              <w:jc w:val="right"/>
            </w:pPr>
            <w:r>
              <w:rPr>
                <w:rFonts w:ascii="宋体" w:hAnsi="宋体" w:eastAsia="宋体" w:cs="宋体"/>
                <w:b w:val="0"/>
                <w:i w:val="0"/>
                <w:color w:val="000000"/>
                <w:sz w:val="19"/>
              </w:rPr>
              <w:t>94.32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94.32</w:t>
            </w:r>
          </w:p>
        </w:tc>
        <w:tc>
          <w:tcPr>
            <w:tcW w:w="1600" w:type="dxa"/>
            <w:vAlign w:val="center"/>
          </w:tcPr>
          <w:p>
            <w:pPr>
              <w:jc w:val="right"/>
            </w:pPr>
            <w:r>
              <w:rPr>
                <w:rFonts w:ascii="宋体" w:hAnsi="宋体" w:eastAsia="宋体" w:cs="宋体"/>
                <w:b w:val="0"/>
                <w:i w:val="0"/>
                <w:color w:val="000000"/>
                <w:sz w:val="19"/>
              </w:rPr>
              <w:t>94.32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2101199</w:t>
            </w:r>
          </w:p>
        </w:tc>
        <w:tc>
          <w:tcPr>
            <w:tcW w:w="3480" w:type="dxa"/>
            <w:vAlign w:val="center"/>
          </w:tcPr>
          <w:p>
            <w:pPr>
              <w:jc w:val="left"/>
            </w:pPr>
            <w:r>
              <w:rPr>
                <w:rFonts w:ascii="宋体" w:hAnsi="宋体" w:eastAsia="宋体" w:cs="宋体"/>
                <w:b w:val="0"/>
                <w:i w:val="0"/>
                <w:color w:val="000000"/>
                <w:sz w:val="19"/>
              </w:rPr>
              <w:t>其他行政事业单位医疗支出</w:t>
            </w:r>
          </w:p>
        </w:tc>
        <w:tc>
          <w:tcPr>
            <w:tcW w:w="1600" w:type="dxa"/>
            <w:vAlign w:val="center"/>
          </w:tcPr>
          <w:p>
            <w:pPr>
              <w:jc w:val="right"/>
            </w:pPr>
            <w:r>
              <w:rPr>
                <w:rFonts w:ascii="宋体" w:hAnsi="宋体" w:eastAsia="宋体" w:cs="宋体"/>
                <w:b w:val="0"/>
                <w:i w:val="0"/>
                <w:color w:val="000000"/>
                <w:sz w:val="19"/>
              </w:rPr>
              <w:t>94.32</w:t>
            </w:r>
          </w:p>
        </w:tc>
        <w:tc>
          <w:tcPr>
            <w:tcW w:w="1600" w:type="dxa"/>
            <w:vAlign w:val="center"/>
          </w:tcPr>
          <w:p>
            <w:pPr>
              <w:jc w:val="right"/>
            </w:pPr>
            <w:r>
              <w:rPr>
                <w:rFonts w:ascii="宋体" w:hAnsi="宋体" w:eastAsia="宋体" w:cs="宋体"/>
                <w:b w:val="0"/>
                <w:i w:val="0"/>
                <w:color w:val="000000"/>
                <w:sz w:val="19"/>
              </w:rPr>
              <w:t>94.32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487.56</w:t>
            </w:r>
          </w:p>
        </w:tc>
        <w:tc>
          <w:tcPr>
            <w:tcW w:w="1600" w:type="dxa"/>
            <w:vAlign w:val="center"/>
          </w:tcPr>
          <w:p>
            <w:pPr>
              <w:jc w:val="right"/>
            </w:pPr>
            <w:r>
              <w:rPr>
                <w:rFonts w:ascii="宋体" w:hAnsi="宋体" w:eastAsia="宋体" w:cs="宋体"/>
                <w:b w:val="0"/>
                <w:i w:val="0"/>
                <w:color w:val="000000"/>
                <w:sz w:val="19"/>
              </w:rPr>
              <w:t>487.56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487.56</w:t>
            </w:r>
          </w:p>
        </w:tc>
        <w:tc>
          <w:tcPr>
            <w:tcW w:w="1600" w:type="dxa"/>
            <w:vAlign w:val="center"/>
          </w:tcPr>
          <w:p>
            <w:pPr>
              <w:jc w:val="right"/>
            </w:pPr>
            <w:r>
              <w:rPr>
                <w:rFonts w:ascii="宋体" w:hAnsi="宋体" w:eastAsia="宋体" w:cs="宋体"/>
                <w:b w:val="0"/>
                <w:i w:val="0"/>
                <w:color w:val="000000"/>
                <w:sz w:val="19"/>
              </w:rPr>
              <w:t>487.56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487.56</w:t>
            </w:r>
          </w:p>
        </w:tc>
        <w:tc>
          <w:tcPr>
            <w:tcW w:w="1600" w:type="dxa"/>
            <w:vAlign w:val="center"/>
          </w:tcPr>
          <w:p>
            <w:pPr>
              <w:jc w:val="right"/>
            </w:pPr>
            <w:r>
              <w:rPr>
                <w:rFonts w:ascii="宋体" w:hAnsi="宋体" w:eastAsia="宋体" w:cs="宋体"/>
                <w:b w:val="0"/>
                <w:i w:val="0"/>
                <w:color w:val="000000"/>
                <w:sz w:val="19"/>
              </w:rPr>
              <w:t>487.56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注：本表反映本年度各项支出情况。</w:t>
            </w:r>
          </w:p>
        </w:tc>
      </w:tr>
    </w:tbl>
    <w:p>
      <w:pPr>
        <w:snapToGrid w:val="0"/>
        <w:spacing w:before="0" w:after="0" w:line="0" w:lineRule="auto"/>
      </w:pPr>
      <w:r>
        <w:rPr>
          <w:sz w:val="8"/>
        </w:rPr>
        <w:t xml:space="preserve"> </w:t>
      </w:r>
    </w:p>
    <w:p>
      <w:pPr>
        <w:rPr>
          <w:rFonts w:hint="eastAsia" w:ascii="华文中宋" w:hAnsi="华文中宋" w:eastAsia="华文中宋" w:cs="华文中宋"/>
          <w:color w:val="000000"/>
          <w:kern w:val="0"/>
          <w:sz w:val="32"/>
          <w:szCs w:val="32"/>
          <w:highlight w:val="none"/>
          <w:lang w:val="en-US" w:eastAsia="zh-CN"/>
        </w:rPr>
      </w:pPr>
      <w:r>
        <w:br w:type="page"/>
      </w:r>
    </w:p>
    <w:p>
      <w:pPr>
        <w:pStyle w:val="3"/>
        <w:bidi w:val="0"/>
        <w:jc w:val="center"/>
        <w:rPr>
          <w:rFonts w:hint="eastAsia" w:ascii="楷体" w:hAnsi="楷体" w:eastAsia="楷体" w:cs="楷体"/>
          <w:b w:val="0"/>
          <w:bCs/>
          <w:lang w:val="en-US" w:eastAsia="zh-CN"/>
        </w:rPr>
      </w:pPr>
      <w:bookmarkStart w:id="18" w:name="_Toc_1_2_0000000041"/>
      <w:bookmarkStart w:id="19" w:name="_Toc27258"/>
      <w:r>
        <w:rPr>
          <w:rFonts w:hint="eastAsia" w:ascii="楷体" w:hAnsi="楷体" w:eastAsia="楷体" w:cs="楷体"/>
          <w:b w:val="0"/>
          <w:bCs/>
          <w:lang w:val="en-US" w:eastAsia="zh-CN"/>
        </w:rPr>
        <w:t>2023年度财政拨款收入支出决算总表</w:t>
      </w:r>
      <w:bookmarkEnd w:id="18"/>
      <w:bookmarkEnd w:id="1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5,856.72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4,668.66</w:t>
            </w:r>
          </w:p>
        </w:tc>
        <w:tc>
          <w:tcPr>
            <w:tcW w:w="1420" w:type="dxa"/>
            <w:vAlign w:val="center"/>
          </w:tcPr>
          <w:p>
            <w:pPr>
              <w:jc w:val="right"/>
            </w:pPr>
            <w:r>
              <w:rPr>
                <w:rFonts w:ascii="宋体" w:hAnsi="宋体" w:eastAsia="宋体" w:cs="宋体"/>
                <w:b w:val="0"/>
                <w:i w:val="0"/>
                <w:color w:val="000000"/>
                <w:sz w:val="18"/>
              </w:rPr>
              <w:t>4,668.66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606.17</w:t>
            </w:r>
          </w:p>
        </w:tc>
        <w:tc>
          <w:tcPr>
            <w:tcW w:w="1420" w:type="dxa"/>
            <w:vAlign w:val="center"/>
          </w:tcPr>
          <w:p>
            <w:pPr>
              <w:jc w:val="right"/>
            </w:pPr>
            <w:r>
              <w:rPr>
                <w:rFonts w:ascii="宋体" w:hAnsi="宋体" w:eastAsia="宋体" w:cs="宋体"/>
                <w:b w:val="0"/>
                <w:i w:val="0"/>
                <w:color w:val="000000"/>
                <w:sz w:val="18"/>
              </w:rPr>
              <w:t>606.17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94.32</w:t>
            </w:r>
          </w:p>
        </w:tc>
        <w:tc>
          <w:tcPr>
            <w:tcW w:w="1420" w:type="dxa"/>
            <w:vAlign w:val="center"/>
          </w:tcPr>
          <w:p>
            <w:pPr>
              <w:jc w:val="right"/>
            </w:pPr>
            <w:r>
              <w:rPr>
                <w:rFonts w:ascii="宋体" w:hAnsi="宋体" w:eastAsia="宋体" w:cs="宋体"/>
                <w:b w:val="0"/>
                <w:i w:val="0"/>
                <w:color w:val="000000"/>
                <w:sz w:val="18"/>
              </w:rPr>
              <w:t>94.32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487.56</w:t>
            </w:r>
          </w:p>
        </w:tc>
        <w:tc>
          <w:tcPr>
            <w:tcW w:w="1420" w:type="dxa"/>
            <w:vAlign w:val="center"/>
          </w:tcPr>
          <w:p>
            <w:pPr>
              <w:jc w:val="right"/>
            </w:pPr>
            <w:r>
              <w:rPr>
                <w:rFonts w:ascii="宋体" w:hAnsi="宋体" w:eastAsia="宋体" w:cs="宋体"/>
                <w:b w:val="0"/>
                <w:i w:val="0"/>
                <w:color w:val="000000"/>
                <w:sz w:val="18"/>
              </w:rPr>
              <w:t>487.56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5,856.72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5,856.72</w:t>
            </w:r>
          </w:p>
        </w:tc>
        <w:tc>
          <w:tcPr>
            <w:tcW w:w="1420" w:type="dxa"/>
            <w:vAlign w:val="center"/>
          </w:tcPr>
          <w:p>
            <w:pPr>
              <w:jc w:val="right"/>
            </w:pPr>
            <w:r>
              <w:rPr>
                <w:rFonts w:ascii="宋体" w:hAnsi="宋体" w:eastAsia="宋体" w:cs="宋体"/>
                <w:b w:val="0"/>
                <w:i w:val="0"/>
                <w:color w:val="000000"/>
                <w:sz w:val="18"/>
              </w:rPr>
              <w:t>5,856.72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5,856.72</w:t>
            </w:r>
          </w:p>
        </w:tc>
        <w:tc>
          <w:tcPr>
            <w:tcW w:w="308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5,856.72</w:t>
            </w:r>
          </w:p>
        </w:tc>
        <w:tc>
          <w:tcPr>
            <w:tcW w:w="1420" w:type="dxa"/>
            <w:vAlign w:val="center"/>
          </w:tcPr>
          <w:p>
            <w:pPr>
              <w:jc w:val="right"/>
            </w:pPr>
            <w:r>
              <w:rPr>
                <w:rFonts w:ascii="宋体" w:hAnsi="宋体" w:eastAsia="宋体" w:cs="宋体"/>
                <w:b w:val="0"/>
                <w:i w:val="0"/>
                <w:color w:val="000000"/>
                <w:sz w:val="18"/>
              </w:rPr>
              <w:t>5,856.72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val="0"/>
          <w:bCs/>
          <w:lang w:val="en-US" w:eastAsia="zh-CN"/>
        </w:rPr>
      </w:pPr>
      <w:bookmarkStart w:id="20" w:name="_Toc_1_2_0000000042"/>
      <w:bookmarkStart w:id="21" w:name="_Toc19421"/>
      <w:r>
        <w:rPr>
          <w:rFonts w:hint="eastAsia" w:ascii="楷体" w:hAnsi="楷体" w:eastAsia="楷体" w:cs="楷体"/>
          <w:b w:val="0"/>
          <w:bCs/>
          <w:lang w:val="en-US" w:eastAsia="zh-CN"/>
        </w:rPr>
        <w:t>2023年度一般公共预算财政拨款支出决算表</w:t>
      </w:r>
      <w:bookmarkEnd w:id="20"/>
      <w:bookmarkEnd w:id="21"/>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pPr>
              <w:jc w:val="right"/>
            </w:pPr>
            <w:r>
              <w:rPr>
                <w:rFonts w:ascii="宋体" w:hAnsi="宋体" w:eastAsia="宋体" w:cs="宋体"/>
                <w:b w:val="0"/>
                <w:i w:val="0"/>
                <w:color w:val="000000"/>
                <w:sz w:val="28"/>
              </w:rPr>
              <w:t>5,856.72</w:t>
            </w:r>
          </w:p>
        </w:tc>
        <w:tc>
          <w:tcPr>
            <w:tcW w:w="2460" w:type="dxa"/>
            <w:vAlign w:val="center"/>
          </w:tcPr>
          <w:p>
            <w:pPr>
              <w:jc w:val="right"/>
            </w:pPr>
            <w:r>
              <w:rPr>
                <w:rFonts w:ascii="宋体" w:hAnsi="宋体" w:eastAsia="宋体" w:cs="宋体"/>
                <w:b w:val="0"/>
                <w:i w:val="0"/>
                <w:color w:val="000000"/>
                <w:sz w:val="28"/>
              </w:rPr>
              <w:t>5,333.24</w:t>
            </w:r>
          </w:p>
        </w:tc>
        <w:tc>
          <w:tcPr>
            <w:tcW w:w="2478" w:type="dxa"/>
            <w:vAlign w:val="center"/>
          </w:tcPr>
          <w:p>
            <w:pPr>
              <w:jc w:val="right"/>
            </w:pPr>
            <w:r>
              <w:rPr>
                <w:rFonts w:ascii="宋体" w:hAnsi="宋体" w:eastAsia="宋体" w:cs="宋体"/>
                <w:b w:val="0"/>
                <w:i w:val="0"/>
                <w:color w:val="000000"/>
                <w:sz w:val="28"/>
              </w:rPr>
              <w:t>523.48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w:t>
            </w:r>
          </w:p>
        </w:tc>
        <w:tc>
          <w:tcPr>
            <w:tcW w:w="5360" w:type="dxa"/>
            <w:vAlign w:val="center"/>
          </w:tcPr>
          <w:p>
            <w:pPr>
              <w:jc w:val="left"/>
            </w:pPr>
            <w:r>
              <w:rPr>
                <w:rFonts w:ascii="宋体" w:hAnsi="宋体" w:eastAsia="宋体" w:cs="宋体"/>
                <w:b w:val="0"/>
                <w:i w:val="0"/>
                <w:color w:val="000000"/>
                <w:sz w:val="28"/>
              </w:rPr>
              <w:t>一般公共服务支出</w:t>
            </w:r>
          </w:p>
        </w:tc>
        <w:tc>
          <w:tcPr>
            <w:tcW w:w="2460" w:type="dxa"/>
            <w:vAlign w:val="center"/>
          </w:tcPr>
          <w:p>
            <w:pPr>
              <w:jc w:val="right"/>
            </w:pPr>
            <w:r>
              <w:rPr>
                <w:rFonts w:ascii="宋体" w:hAnsi="宋体" w:eastAsia="宋体" w:cs="宋体"/>
                <w:b w:val="0"/>
                <w:i w:val="0"/>
                <w:color w:val="000000"/>
                <w:sz w:val="28"/>
              </w:rPr>
              <w:t>4,668.66</w:t>
            </w:r>
          </w:p>
        </w:tc>
        <w:tc>
          <w:tcPr>
            <w:tcW w:w="2460" w:type="dxa"/>
            <w:vAlign w:val="center"/>
          </w:tcPr>
          <w:p>
            <w:pPr>
              <w:jc w:val="right"/>
            </w:pPr>
            <w:r>
              <w:rPr>
                <w:rFonts w:ascii="宋体" w:hAnsi="宋体" w:eastAsia="宋体" w:cs="宋体"/>
                <w:b w:val="0"/>
                <w:i w:val="0"/>
                <w:color w:val="000000"/>
                <w:sz w:val="28"/>
              </w:rPr>
              <w:t>4,145.19</w:t>
            </w:r>
          </w:p>
        </w:tc>
        <w:tc>
          <w:tcPr>
            <w:tcW w:w="2478" w:type="dxa"/>
            <w:vAlign w:val="center"/>
          </w:tcPr>
          <w:p>
            <w:pPr>
              <w:jc w:val="right"/>
            </w:pPr>
            <w:r>
              <w:rPr>
                <w:rFonts w:ascii="宋体" w:hAnsi="宋体" w:eastAsia="宋体" w:cs="宋体"/>
                <w:b w:val="0"/>
                <w:i w:val="0"/>
                <w:color w:val="000000"/>
                <w:sz w:val="28"/>
              </w:rPr>
              <w:t>523.48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w:t>
            </w:r>
          </w:p>
        </w:tc>
        <w:tc>
          <w:tcPr>
            <w:tcW w:w="5360" w:type="dxa"/>
            <w:vAlign w:val="center"/>
          </w:tcPr>
          <w:p>
            <w:pPr>
              <w:jc w:val="left"/>
            </w:pPr>
            <w:r>
              <w:rPr>
                <w:rFonts w:ascii="宋体" w:hAnsi="宋体" w:eastAsia="宋体" w:cs="宋体"/>
                <w:b w:val="0"/>
                <w:i w:val="0"/>
                <w:color w:val="000000"/>
                <w:sz w:val="28"/>
              </w:rPr>
              <w:t>财政事务</w:t>
            </w:r>
          </w:p>
        </w:tc>
        <w:tc>
          <w:tcPr>
            <w:tcW w:w="2460" w:type="dxa"/>
            <w:vAlign w:val="center"/>
          </w:tcPr>
          <w:p>
            <w:pPr>
              <w:jc w:val="right"/>
            </w:pPr>
            <w:r>
              <w:rPr>
                <w:rFonts w:ascii="宋体" w:hAnsi="宋体" w:eastAsia="宋体" w:cs="宋体"/>
                <w:b w:val="0"/>
                <w:i w:val="0"/>
                <w:color w:val="000000"/>
                <w:sz w:val="28"/>
              </w:rPr>
              <w:t>4,668.66</w:t>
            </w:r>
          </w:p>
        </w:tc>
        <w:tc>
          <w:tcPr>
            <w:tcW w:w="2460" w:type="dxa"/>
            <w:vAlign w:val="center"/>
          </w:tcPr>
          <w:p>
            <w:pPr>
              <w:jc w:val="right"/>
            </w:pPr>
            <w:r>
              <w:rPr>
                <w:rFonts w:ascii="宋体" w:hAnsi="宋体" w:eastAsia="宋体" w:cs="宋体"/>
                <w:b w:val="0"/>
                <w:i w:val="0"/>
                <w:color w:val="000000"/>
                <w:sz w:val="28"/>
              </w:rPr>
              <w:t>4,145.19</w:t>
            </w:r>
          </w:p>
        </w:tc>
        <w:tc>
          <w:tcPr>
            <w:tcW w:w="2478" w:type="dxa"/>
            <w:vAlign w:val="center"/>
          </w:tcPr>
          <w:p>
            <w:pPr>
              <w:jc w:val="right"/>
            </w:pPr>
            <w:r>
              <w:rPr>
                <w:rFonts w:ascii="宋体" w:hAnsi="宋体" w:eastAsia="宋体" w:cs="宋体"/>
                <w:b w:val="0"/>
                <w:i w:val="0"/>
                <w:color w:val="000000"/>
                <w:sz w:val="28"/>
              </w:rPr>
              <w:t>523.48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2010601</w:t>
            </w:r>
          </w:p>
        </w:tc>
        <w:tc>
          <w:tcPr>
            <w:tcW w:w="5360" w:type="dxa"/>
            <w:vAlign w:val="center"/>
          </w:tcPr>
          <w:p>
            <w:pPr>
              <w:jc w:val="left"/>
            </w:pPr>
            <w:r>
              <w:rPr>
                <w:rFonts w:ascii="宋体" w:hAnsi="宋体" w:eastAsia="宋体" w:cs="宋体"/>
                <w:b w:val="0"/>
                <w:i w:val="0"/>
                <w:color w:val="000000"/>
                <w:sz w:val="28"/>
              </w:rPr>
              <w:t>行政运行</w:t>
            </w:r>
          </w:p>
        </w:tc>
        <w:tc>
          <w:tcPr>
            <w:tcW w:w="2460" w:type="dxa"/>
            <w:vAlign w:val="center"/>
          </w:tcPr>
          <w:p>
            <w:pPr>
              <w:jc w:val="right"/>
            </w:pPr>
            <w:r>
              <w:rPr>
                <w:rFonts w:ascii="宋体" w:hAnsi="宋体" w:eastAsia="宋体" w:cs="宋体"/>
                <w:b w:val="0"/>
                <w:i w:val="0"/>
                <w:color w:val="000000"/>
                <w:sz w:val="28"/>
              </w:rPr>
              <w:t>4,145.19</w:t>
            </w:r>
          </w:p>
        </w:tc>
        <w:tc>
          <w:tcPr>
            <w:tcW w:w="2460" w:type="dxa"/>
            <w:vAlign w:val="center"/>
          </w:tcPr>
          <w:p>
            <w:pPr>
              <w:jc w:val="right"/>
            </w:pPr>
            <w:r>
              <w:rPr>
                <w:rFonts w:ascii="宋体" w:hAnsi="宋体" w:eastAsia="宋体" w:cs="宋体"/>
                <w:b w:val="0"/>
                <w:i w:val="0"/>
                <w:color w:val="000000"/>
                <w:sz w:val="28"/>
              </w:rPr>
              <w:t>4,145.19</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2010607</w:t>
            </w:r>
          </w:p>
        </w:tc>
        <w:tc>
          <w:tcPr>
            <w:tcW w:w="5360" w:type="dxa"/>
            <w:vAlign w:val="center"/>
          </w:tcPr>
          <w:p>
            <w:pPr>
              <w:jc w:val="left"/>
            </w:pPr>
            <w:r>
              <w:rPr>
                <w:rFonts w:ascii="宋体" w:hAnsi="宋体" w:eastAsia="宋体" w:cs="宋体"/>
                <w:b w:val="0"/>
                <w:i w:val="0"/>
                <w:color w:val="000000"/>
                <w:sz w:val="28"/>
              </w:rPr>
              <w:t>信息化建设</w:t>
            </w:r>
          </w:p>
        </w:tc>
        <w:tc>
          <w:tcPr>
            <w:tcW w:w="2460" w:type="dxa"/>
            <w:vAlign w:val="center"/>
          </w:tcPr>
          <w:p>
            <w:pPr>
              <w:jc w:val="right"/>
            </w:pPr>
            <w:r>
              <w:rPr>
                <w:rFonts w:ascii="宋体" w:hAnsi="宋体" w:eastAsia="宋体" w:cs="宋体"/>
                <w:b w:val="0"/>
                <w:i w:val="0"/>
                <w:color w:val="000000"/>
                <w:sz w:val="28"/>
              </w:rPr>
              <w:t>252.63</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252.63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2010608</w:t>
            </w:r>
          </w:p>
        </w:tc>
        <w:tc>
          <w:tcPr>
            <w:tcW w:w="5360" w:type="dxa"/>
            <w:vAlign w:val="center"/>
          </w:tcPr>
          <w:p>
            <w:pPr>
              <w:jc w:val="left"/>
            </w:pPr>
            <w:r>
              <w:rPr>
                <w:rFonts w:ascii="宋体" w:hAnsi="宋体" w:eastAsia="宋体" w:cs="宋体"/>
                <w:b w:val="0"/>
                <w:i w:val="0"/>
                <w:color w:val="000000"/>
                <w:sz w:val="28"/>
              </w:rPr>
              <w:t>财政委托业务支出</w:t>
            </w:r>
          </w:p>
        </w:tc>
        <w:tc>
          <w:tcPr>
            <w:tcW w:w="2460" w:type="dxa"/>
            <w:vAlign w:val="center"/>
          </w:tcPr>
          <w:p>
            <w:pPr>
              <w:jc w:val="right"/>
            </w:pPr>
            <w:r>
              <w:rPr>
                <w:rFonts w:ascii="宋体" w:hAnsi="宋体" w:eastAsia="宋体" w:cs="宋体"/>
                <w:b w:val="0"/>
                <w:i w:val="0"/>
                <w:color w:val="000000"/>
                <w:sz w:val="28"/>
              </w:rPr>
              <w:t>83.71</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83.71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2010699</w:t>
            </w:r>
          </w:p>
        </w:tc>
        <w:tc>
          <w:tcPr>
            <w:tcW w:w="5360" w:type="dxa"/>
            <w:vAlign w:val="center"/>
          </w:tcPr>
          <w:p>
            <w:pPr>
              <w:jc w:val="left"/>
            </w:pPr>
            <w:r>
              <w:rPr>
                <w:rFonts w:ascii="宋体" w:hAnsi="宋体" w:eastAsia="宋体" w:cs="宋体"/>
                <w:b w:val="0"/>
                <w:i w:val="0"/>
                <w:color w:val="000000"/>
                <w:sz w:val="28"/>
              </w:rPr>
              <w:t>其他财政事务支出</w:t>
            </w:r>
          </w:p>
        </w:tc>
        <w:tc>
          <w:tcPr>
            <w:tcW w:w="2460" w:type="dxa"/>
            <w:vAlign w:val="center"/>
          </w:tcPr>
          <w:p>
            <w:pPr>
              <w:jc w:val="right"/>
            </w:pPr>
            <w:r>
              <w:rPr>
                <w:rFonts w:ascii="宋体" w:hAnsi="宋体" w:eastAsia="宋体" w:cs="宋体"/>
                <w:b w:val="0"/>
                <w:i w:val="0"/>
                <w:color w:val="000000"/>
                <w:sz w:val="28"/>
              </w:rPr>
              <w:t>187.14</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187.14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w:t>
            </w:r>
          </w:p>
        </w:tc>
        <w:tc>
          <w:tcPr>
            <w:tcW w:w="5360" w:type="dxa"/>
            <w:vAlign w:val="center"/>
          </w:tcPr>
          <w:p>
            <w:pPr>
              <w:jc w:val="left"/>
            </w:pPr>
            <w:r>
              <w:rPr>
                <w:rFonts w:ascii="宋体" w:hAnsi="宋体" w:eastAsia="宋体" w:cs="宋体"/>
                <w:b w:val="0"/>
                <w:i w:val="0"/>
                <w:color w:val="000000"/>
                <w:sz w:val="28"/>
              </w:rPr>
              <w:t>社会保障和就业支出</w:t>
            </w:r>
          </w:p>
        </w:tc>
        <w:tc>
          <w:tcPr>
            <w:tcW w:w="2460" w:type="dxa"/>
            <w:vAlign w:val="center"/>
          </w:tcPr>
          <w:p>
            <w:pPr>
              <w:jc w:val="right"/>
            </w:pPr>
            <w:r>
              <w:rPr>
                <w:rFonts w:ascii="宋体" w:hAnsi="宋体" w:eastAsia="宋体" w:cs="宋体"/>
                <w:b w:val="0"/>
                <w:i w:val="0"/>
                <w:color w:val="000000"/>
                <w:sz w:val="28"/>
              </w:rPr>
              <w:t>606.17</w:t>
            </w:r>
          </w:p>
        </w:tc>
        <w:tc>
          <w:tcPr>
            <w:tcW w:w="2460" w:type="dxa"/>
            <w:vAlign w:val="center"/>
          </w:tcPr>
          <w:p>
            <w:pPr>
              <w:jc w:val="right"/>
            </w:pPr>
            <w:r>
              <w:rPr>
                <w:rFonts w:ascii="宋体" w:hAnsi="宋体" w:eastAsia="宋体" w:cs="宋体"/>
                <w:b w:val="0"/>
                <w:i w:val="0"/>
                <w:color w:val="000000"/>
                <w:sz w:val="28"/>
              </w:rPr>
              <w:t>606.17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w:t>
            </w:r>
          </w:p>
        </w:tc>
        <w:tc>
          <w:tcPr>
            <w:tcW w:w="5360" w:type="dxa"/>
            <w:vAlign w:val="center"/>
          </w:tcPr>
          <w:p>
            <w:pPr>
              <w:jc w:val="left"/>
            </w:pPr>
            <w:r>
              <w:rPr>
                <w:rFonts w:ascii="宋体" w:hAnsi="宋体" w:eastAsia="宋体" w:cs="宋体"/>
                <w:b w:val="0"/>
                <w:i w:val="0"/>
                <w:color w:val="000000"/>
                <w:sz w:val="28"/>
              </w:rPr>
              <w:t>行政事业单位养老支出</w:t>
            </w:r>
          </w:p>
        </w:tc>
        <w:tc>
          <w:tcPr>
            <w:tcW w:w="2460" w:type="dxa"/>
            <w:vAlign w:val="center"/>
          </w:tcPr>
          <w:p>
            <w:pPr>
              <w:jc w:val="right"/>
            </w:pPr>
            <w:r>
              <w:rPr>
                <w:rFonts w:ascii="宋体" w:hAnsi="宋体" w:eastAsia="宋体" w:cs="宋体"/>
                <w:b w:val="0"/>
                <w:i w:val="0"/>
                <w:color w:val="000000"/>
                <w:sz w:val="28"/>
              </w:rPr>
              <w:t>606.17</w:t>
            </w:r>
          </w:p>
        </w:tc>
        <w:tc>
          <w:tcPr>
            <w:tcW w:w="2460" w:type="dxa"/>
            <w:vAlign w:val="center"/>
          </w:tcPr>
          <w:p>
            <w:pPr>
              <w:jc w:val="right"/>
            </w:pPr>
            <w:r>
              <w:rPr>
                <w:rFonts w:ascii="宋体" w:hAnsi="宋体" w:eastAsia="宋体" w:cs="宋体"/>
                <w:b w:val="0"/>
                <w:i w:val="0"/>
                <w:color w:val="000000"/>
                <w:sz w:val="28"/>
              </w:rPr>
              <w:t>606.17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2080505</w:t>
            </w:r>
          </w:p>
        </w:tc>
        <w:tc>
          <w:tcPr>
            <w:tcW w:w="5360" w:type="dxa"/>
            <w:vAlign w:val="center"/>
          </w:tcPr>
          <w:p>
            <w:pPr>
              <w:jc w:val="left"/>
            </w:pPr>
            <w:r>
              <w:rPr>
                <w:rFonts w:ascii="宋体" w:hAnsi="宋体" w:eastAsia="宋体" w:cs="宋体"/>
                <w:b w:val="0"/>
                <w:i w:val="0"/>
                <w:color w:val="000000"/>
                <w:sz w:val="28"/>
              </w:rPr>
              <w:t>机关事业单位基本养老保险缴费支出</w:t>
            </w:r>
          </w:p>
        </w:tc>
        <w:tc>
          <w:tcPr>
            <w:tcW w:w="2460" w:type="dxa"/>
            <w:vAlign w:val="center"/>
          </w:tcPr>
          <w:p>
            <w:pPr>
              <w:jc w:val="right"/>
            </w:pPr>
            <w:r>
              <w:rPr>
                <w:rFonts w:ascii="宋体" w:hAnsi="宋体" w:eastAsia="宋体" w:cs="宋体"/>
                <w:b w:val="0"/>
                <w:i w:val="0"/>
                <w:color w:val="000000"/>
                <w:sz w:val="28"/>
              </w:rPr>
              <w:t>315.66</w:t>
            </w:r>
          </w:p>
        </w:tc>
        <w:tc>
          <w:tcPr>
            <w:tcW w:w="2460" w:type="dxa"/>
            <w:vAlign w:val="center"/>
          </w:tcPr>
          <w:p>
            <w:pPr>
              <w:jc w:val="right"/>
            </w:pPr>
            <w:r>
              <w:rPr>
                <w:rFonts w:ascii="宋体" w:hAnsi="宋体" w:eastAsia="宋体" w:cs="宋体"/>
                <w:b w:val="0"/>
                <w:i w:val="0"/>
                <w:color w:val="000000"/>
                <w:sz w:val="28"/>
              </w:rPr>
              <w:t>315.66</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2080506</w:t>
            </w:r>
          </w:p>
        </w:tc>
        <w:tc>
          <w:tcPr>
            <w:tcW w:w="5360" w:type="dxa"/>
            <w:vAlign w:val="center"/>
          </w:tcPr>
          <w:p>
            <w:pPr>
              <w:jc w:val="left"/>
            </w:pPr>
            <w:r>
              <w:rPr>
                <w:rFonts w:ascii="宋体" w:hAnsi="宋体" w:eastAsia="宋体" w:cs="宋体"/>
                <w:b w:val="0"/>
                <w:i w:val="0"/>
                <w:color w:val="000000"/>
                <w:sz w:val="28"/>
              </w:rPr>
              <w:t>机关事业单位职业年金缴费支出</w:t>
            </w:r>
          </w:p>
        </w:tc>
        <w:tc>
          <w:tcPr>
            <w:tcW w:w="2460" w:type="dxa"/>
            <w:vAlign w:val="center"/>
          </w:tcPr>
          <w:p>
            <w:pPr>
              <w:jc w:val="right"/>
            </w:pPr>
            <w:r>
              <w:rPr>
                <w:rFonts w:ascii="宋体" w:hAnsi="宋体" w:eastAsia="宋体" w:cs="宋体"/>
                <w:b w:val="0"/>
                <w:i w:val="0"/>
                <w:color w:val="000000"/>
                <w:sz w:val="28"/>
              </w:rPr>
              <w:t>157.83</w:t>
            </w:r>
          </w:p>
        </w:tc>
        <w:tc>
          <w:tcPr>
            <w:tcW w:w="2460" w:type="dxa"/>
            <w:vAlign w:val="center"/>
          </w:tcPr>
          <w:p>
            <w:pPr>
              <w:jc w:val="right"/>
            </w:pPr>
            <w:r>
              <w:rPr>
                <w:rFonts w:ascii="宋体" w:hAnsi="宋体" w:eastAsia="宋体" w:cs="宋体"/>
                <w:b w:val="0"/>
                <w:i w:val="0"/>
                <w:color w:val="000000"/>
                <w:sz w:val="28"/>
              </w:rPr>
              <w:t>157.83</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2080599</w:t>
            </w:r>
          </w:p>
        </w:tc>
        <w:tc>
          <w:tcPr>
            <w:tcW w:w="5360" w:type="dxa"/>
            <w:vAlign w:val="center"/>
          </w:tcPr>
          <w:p>
            <w:pPr>
              <w:jc w:val="left"/>
            </w:pPr>
            <w:r>
              <w:rPr>
                <w:rFonts w:ascii="宋体" w:hAnsi="宋体" w:eastAsia="宋体" w:cs="宋体"/>
                <w:b w:val="0"/>
                <w:i w:val="0"/>
                <w:color w:val="000000"/>
                <w:sz w:val="28"/>
              </w:rPr>
              <w:t>其他行政事业单位养老支出</w:t>
            </w:r>
          </w:p>
        </w:tc>
        <w:tc>
          <w:tcPr>
            <w:tcW w:w="2460" w:type="dxa"/>
            <w:vAlign w:val="center"/>
          </w:tcPr>
          <w:p>
            <w:pPr>
              <w:jc w:val="right"/>
            </w:pPr>
            <w:r>
              <w:rPr>
                <w:rFonts w:ascii="宋体" w:hAnsi="宋体" w:eastAsia="宋体" w:cs="宋体"/>
                <w:b w:val="0"/>
                <w:i w:val="0"/>
                <w:color w:val="000000"/>
                <w:sz w:val="28"/>
              </w:rPr>
              <w:t>132.68</w:t>
            </w:r>
          </w:p>
        </w:tc>
        <w:tc>
          <w:tcPr>
            <w:tcW w:w="2460" w:type="dxa"/>
            <w:vAlign w:val="center"/>
          </w:tcPr>
          <w:p>
            <w:pPr>
              <w:jc w:val="right"/>
            </w:pPr>
            <w:r>
              <w:rPr>
                <w:rFonts w:ascii="宋体" w:hAnsi="宋体" w:eastAsia="宋体" w:cs="宋体"/>
                <w:b w:val="0"/>
                <w:i w:val="0"/>
                <w:color w:val="000000"/>
                <w:sz w:val="28"/>
              </w:rPr>
              <w:t>132.68</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210</w:t>
            </w:r>
          </w:p>
        </w:tc>
        <w:tc>
          <w:tcPr>
            <w:tcW w:w="5360" w:type="dxa"/>
            <w:vAlign w:val="center"/>
          </w:tcPr>
          <w:p>
            <w:pPr>
              <w:jc w:val="left"/>
            </w:pPr>
            <w:r>
              <w:rPr>
                <w:rFonts w:ascii="宋体" w:hAnsi="宋体" w:eastAsia="宋体" w:cs="宋体"/>
                <w:b w:val="0"/>
                <w:i w:val="0"/>
                <w:color w:val="000000"/>
                <w:sz w:val="28"/>
              </w:rPr>
              <w:t>卫生健康支出</w:t>
            </w:r>
          </w:p>
        </w:tc>
        <w:tc>
          <w:tcPr>
            <w:tcW w:w="2460" w:type="dxa"/>
            <w:vAlign w:val="center"/>
          </w:tcPr>
          <w:p>
            <w:pPr>
              <w:jc w:val="right"/>
            </w:pPr>
            <w:r>
              <w:rPr>
                <w:rFonts w:ascii="宋体" w:hAnsi="宋体" w:eastAsia="宋体" w:cs="宋体"/>
                <w:b w:val="0"/>
                <w:i w:val="0"/>
                <w:color w:val="000000"/>
                <w:sz w:val="28"/>
              </w:rPr>
              <w:t>94.32</w:t>
            </w:r>
          </w:p>
        </w:tc>
        <w:tc>
          <w:tcPr>
            <w:tcW w:w="2460" w:type="dxa"/>
            <w:vAlign w:val="center"/>
          </w:tcPr>
          <w:p>
            <w:pPr>
              <w:jc w:val="right"/>
            </w:pPr>
            <w:r>
              <w:rPr>
                <w:rFonts w:ascii="宋体" w:hAnsi="宋体" w:eastAsia="宋体" w:cs="宋体"/>
                <w:b w:val="0"/>
                <w:i w:val="0"/>
                <w:color w:val="000000"/>
                <w:sz w:val="28"/>
              </w:rPr>
              <w:t>94.32</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21011</w:t>
            </w:r>
          </w:p>
        </w:tc>
        <w:tc>
          <w:tcPr>
            <w:tcW w:w="5360" w:type="dxa"/>
            <w:vAlign w:val="center"/>
          </w:tcPr>
          <w:p>
            <w:pPr>
              <w:jc w:val="left"/>
            </w:pPr>
            <w:r>
              <w:rPr>
                <w:rFonts w:ascii="宋体" w:hAnsi="宋体" w:eastAsia="宋体" w:cs="宋体"/>
                <w:b w:val="0"/>
                <w:i w:val="0"/>
                <w:color w:val="000000"/>
                <w:sz w:val="28"/>
              </w:rPr>
              <w:t>行政事业单位医疗</w:t>
            </w:r>
          </w:p>
        </w:tc>
        <w:tc>
          <w:tcPr>
            <w:tcW w:w="2460" w:type="dxa"/>
            <w:vAlign w:val="center"/>
          </w:tcPr>
          <w:p>
            <w:pPr>
              <w:jc w:val="right"/>
            </w:pPr>
            <w:r>
              <w:rPr>
                <w:rFonts w:ascii="宋体" w:hAnsi="宋体" w:eastAsia="宋体" w:cs="宋体"/>
                <w:b w:val="0"/>
                <w:i w:val="0"/>
                <w:color w:val="000000"/>
                <w:sz w:val="28"/>
              </w:rPr>
              <w:t>94.32</w:t>
            </w:r>
          </w:p>
        </w:tc>
        <w:tc>
          <w:tcPr>
            <w:tcW w:w="2460" w:type="dxa"/>
            <w:vAlign w:val="center"/>
          </w:tcPr>
          <w:p>
            <w:pPr>
              <w:jc w:val="right"/>
            </w:pPr>
            <w:r>
              <w:rPr>
                <w:rFonts w:ascii="宋体" w:hAnsi="宋体" w:eastAsia="宋体" w:cs="宋体"/>
                <w:b w:val="0"/>
                <w:i w:val="0"/>
                <w:color w:val="000000"/>
                <w:sz w:val="28"/>
              </w:rPr>
              <w:t>94.32</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2101199</w:t>
            </w:r>
          </w:p>
        </w:tc>
        <w:tc>
          <w:tcPr>
            <w:tcW w:w="5360" w:type="dxa"/>
            <w:vAlign w:val="center"/>
          </w:tcPr>
          <w:p>
            <w:pPr>
              <w:jc w:val="left"/>
            </w:pPr>
            <w:r>
              <w:rPr>
                <w:rFonts w:ascii="宋体" w:hAnsi="宋体" w:eastAsia="宋体" w:cs="宋体"/>
                <w:b w:val="0"/>
                <w:i w:val="0"/>
                <w:color w:val="000000"/>
                <w:sz w:val="28"/>
              </w:rPr>
              <w:t>其他行政事业单位医疗支出</w:t>
            </w:r>
          </w:p>
        </w:tc>
        <w:tc>
          <w:tcPr>
            <w:tcW w:w="2460" w:type="dxa"/>
            <w:vAlign w:val="center"/>
          </w:tcPr>
          <w:p>
            <w:pPr>
              <w:jc w:val="right"/>
            </w:pPr>
            <w:r>
              <w:rPr>
                <w:rFonts w:ascii="宋体" w:hAnsi="宋体" w:eastAsia="宋体" w:cs="宋体"/>
                <w:b w:val="0"/>
                <w:i w:val="0"/>
                <w:color w:val="000000"/>
                <w:sz w:val="28"/>
              </w:rPr>
              <w:t>94.32</w:t>
            </w:r>
          </w:p>
        </w:tc>
        <w:tc>
          <w:tcPr>
            <w:tcW w:w="2460" w:type="dxa"/>
            <w:vAlign w:val="center"/>
          </w:tcPr>
          <w:p>
            <w:pPr>
              <w:jc w:val="right"/>
            </w:pPr>
            <w:r>
              <w:rPr>
                <w:rFonts w:ascii="宋体" w:hAnsi="宋体" w:eastAsia="宋体" w:cs="宋体"/>
                <w:b w:val="0"/>
                <w:i w:val="0"/>
                <w:color w:val="000000"/>
                <w:sz w:val="28"/>
              </w:rPr>
              <w:t>94.32</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w:t>
            </w:r>
          </w:p>
        </w:tc>
        <w:tc>
          <w:tcPr>
            <w:tcW w:w="5360" w:type="dxa"/>
            <w:vAlign w:val="center"/>
          </w:tcPr>
          <w:p>
            <w:pPr>
              <w:jc w:val="left"/>
            </w:pPr>
            <w:r>
              <w:rPr>
                <w:rFonts w:ascii="宋体" w:hAnsi="宋体" w:eastAsia="宋体" w:cs="宋体"/>
                <w:b w:val="0"/>
                <w:i w:val="0"/>
                <w:color w:val="000000"/>
                <w:sz w:val="28"/>
              </w:rPr>
              <w:t>住房保障支出</w:t>
            </w:r>
          </w:p>
        </w:tc>
        <w:tc>
          <w:tcPr>
            <w:tcW w:w="2460" w:type="dxa"/>
            <w:vAlign w:val="center"/>
          </w:tcPr>
          <w:p>
            <w:pPr>
              <w:jc w:val="right"/>
            </w:pPr>
            <w:r>
              <w:rPr>
                <w:rFonts w:ascii="宋体" w:hAnsi="宋体" w:eastAsia="宋体" w:cs="宋体"/>
                <w:b w:val="0"/>
                <w:i w:val="0"/>
                <w:color w:val="000000"/>
                <w:sz w:val="28"/>
              </w:rPr>
              <w:t>487.56</w:t>
            </w:r>
          </w:p>
        </w:tc>
        <w:tc>
          <w:tcPr>
            <w:tcW w:w="2460" w:type="dxa"/>
            <w:vAlign w:val="center"/>
          </w:tcPr>
          <w:p>
            <w:pPr>
              <w:jc w:val="right"/>
            </w:pPr>
            <w:r>
              <w:rPr>
                <w:rFonts w:ascii="宋体" w:hAnsi="宋体" w:eastAsia="宋体" w:cs="宋体"/>
                <w:b w:val="0"/>
                <w:i w:val="0"/>
                <w:color w:val="000000"/>
                <w:sz w:val="28"/>
              </w:rPr>
              <w:t>487.56</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22102</w:t>
            </w:r>
          </w:p>
        </w:tc>
        <w:tc>
          <w:tcPr>
            <w:tcW w:w="5360" w:type="dxa"/>
            <w:vAlign w:val="center"/>
          </w:tcPr>
          <w:p>
            <w:pPr>
              <w:jc w:val="left"/>
            </w:pPr>
            <w:r>
              <w:rPr>
                <w:rFonts w:ascii="宋体" w:hAnsi="宋体" w:eastAsia="宋体" w:cs="宋体"/>
                <w:b w:val="0"/>
                <w:i w:val="0"/>
                <w:color w:val="000000"/>
                <w:sz w:val="28"/>
              </w:rPr>
              <w:t>住房改革支出</w:t>
            </w:r>
          </w:p>
        </w:tc>
        <w:tc>
          <w:tcPr>
            <w:tcW w:w="2460" w:type="dxa"/>
            <w:vAlign w:val="center"/>
          </w:tcPr>
          <w:p>
            <w:pPr>
              <w:jc w:val="right"/>
            </w:pPr>
            <w:r>
              <w:rPr>
                <w:rFonts w:ascii="宋体" w:hAnsi="宋体" w:eastAsia="宋体" w:cs="宋体"/>
                <w:b w:val="0"/>
                <w:i w:val="0"/>
                <w:color w:val="000000"/>
                <w:sz w:val="28"/>
              </w:rPr>
              <w:t>487.56</w:t>
            </w:r>
          </w:p>
        </w:tc>
        <w:tc>
          <w:tcPr>
            <w:tcW w:w="2460" w:type="dxa"/>
            <w:vAlign w:val="center"/>
          </w:tcPr>
          <w:p>
            <w:pPr>
              <w:jc w:val="right"/>
            </w:pPr>
            <w:r>
              <w:rPr>
                <w:rFonts w:ascii="宋体" w:hAnsi="宋体" w:eastAsia="宋体" w:cs="宋体"/>
                <w:b w:val="0"/>
                <w:i w:val="0"/>
                <w:color w:val="000000"/>
                <w:sz w:val="28"/>
              </w:rPr>
              <w:t>487.56</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2210201</w:t>
            </w:r>
          </w:p>
        </w:tc>
        <w:tc>
          <w:tcPr>
            <w:tcW w:w="5360" w:type="dxa"/>
            <w:vAlign w:val="center"/>
          </w:tcPr>
          <w:p>
            <w:pPr>
              <w:jc w:val="left"/>
            </w:pPr>
            <w:r>
              <w:rPr>
                <w:rFonts w:ascii="宋体" w:hAnsi="宋体" w:eastAsia="宋体" w:cs="宋体"/>
                <w:b w:val="0"/>
                <w:i w:val="0"/>
                <w:color w:val="000000"/>
                <w:sz w:val="28"/>
              </w:rPr>
              <w:t>住房公积金</w:t>
            </w:r>
          </w:p>
        </w:tc>
        <w:tc>
          <w:tcPr>
            <w:tcW w:w="2460" w:type="dxa"/>
            <w:vAlign w:val="center"/>
          </w:tcPr>
          <w:p>
            <w:pPr>
              <w:jc w:val="right"/>
            </w:pPr>
            <w:r>
              <w:rPr>
                <w:rFonts w:ascii="宋体" w:hAnsi="宋体" w:eastAsia="宋体" w:cs="宋体"/>
                <w:b w:val="0"/>
                <w:i w:val="0"/>
                <w:color w:val="000000"/>
                <w:sz w:val="28"/>
              </w:rPr>
              <w:t>487.56</w:t>
            </w:r>
          </w:p>
        </w:tc>
        <w:tc>
          <w:tcPr>
            <w:tcW w:w="2460" w:type="dxa"/>
            <w:vAlign w:val="center"/>
          </w:tcPr>
          <w:p>
            <w:pPr>
              <w:jc w:val="right"/>
            </w:pPr>
            <w:r>
              <w:rPr>
                <w:rFonts w:ascii="宋体" w:hAnsi="宋体" w:eastAsia="宋体" w:cs="宋体"/>
                <w:b w:val="0"/>
                <w:i w:val="0"/>
                <w:color w:val="000000"/>
                <w:sz w:val="28"/>
              </w:rPr>
              <w:t>487.56</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注：本表反映本年度一般公共预算财政拨款支出情况。</w:t>
            </w:r>
          </w:p>
        </w:tc>
      </w:tr>
    </w:tbl>
    <w:p>
      <w:pPr>
        <w:snapToGrid w:val="0"/>
        <w:spacing w:before="0" w:after="0" w:line="0" w:lineRule="auto"/>
      </w:pPr>
      <w:r>
        <w:rPr>
          <w:sz w:val="8"/>
        </w:rPr>
        <w:t xml:space="preserve"> </w:t>
      </w:r>
    </w:p>
    <w:p>
      <w:pPr>
        <w:rPr>
          <w:rFonts w:hint="eastAsia" w:ascii="华文中宋" w:hAnsi="华文中宋" w:eastAsia="华文中宋" w:cs="华文中宋"/>
          <w:color w:val="000000"/>
          <w:kern w:val="0"/>
          <w:sz w:val="32"/>
          <w:szCs w:val="32"/>
          <w:highlight w:val="none"/>
          <w:lang w:val="en-US" w:eastAsia="zh-CN"/>
        </w:rPr>
      </w:pPr>
      <w:r>
        <w:br w:type="page"/>
      </w:r>
    </w:p>
    <w:p>
      <w:pPr>
        <w:pStyle w:val="3"/>
        <w:bidi w:val="0"/>
        <w:jc w:val="center"/>
        <w:rPr>
          <w:rFonts w:hint="eastAsia" w:ascii="楷体" w:hAnsi="楷体" w:eastAsia="楷体" w:cs="楷体"/>
          <w:b w:val="0"/>
          <w:bCs/>
          <w:lang w:val="en-US" w:eastAsia="zh-CN"/>
        </w:rPr>
      </w:pPr>
      <w:bookmarkStart w:id="22" w:name="_Toc23418"/>
      <w:bookmarkStart w:id="23" w:name="_Toc_1_2_0000000043"/>
      <w:r>
        <w:rPr>
          <w:rFonts w:hint="eastAsia" w:ascii="楷体" w:hAnsi="楷体" w:eastAsia="楷体" w:cs="楷体"/>
          <w:b w:val="0"/>
          <w:bCs/>
          <w:lang w:val="en-US" w:eastAsia="zh-CN"/>
        </w:rPr>
        <w:t>2023年度一般公共预算财政拨款基本支出决算明细表</w:t>
      </w:r>
      <w:bookmarkEnd w:id="22"/>
      <w:bookmarkEnd w:id="23"/>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600" w:type="dxa"/>
            <w:gridSpan w:val="3"/>
            <w:vAlign w:val="center"/>
          </w:tcPr>
          <w:p>
            <w:pPr>
              <w:jc w:val="center"/>
            </w:pPr>
            <w:r>
              <w:rPr>
                <w:rFonts w:ascii="宋体" w:hAnsi="宋体" w:eastAsia="宋体" w:cs="宋体"/>
                <w:b w:val="0"/>
                <w:i w:val="0"/>
                <w:color w:val="000000"/>
                <w:sz w:val="16"/>
              </w:rPr>
              <w:t>人员经费</w:t>
            </w:r>
          </w:p>
        </w:tc>
        <w:tc>
          <w:tcPr>
            <w:tcW w:w="9358"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4,706.54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466.58</w:t>
            </w:r>
          </w:p>
        </w:tc>
        <w:tc>
          <w:tcPr>
            <w:tcW w:w="560" w:type="dxa"/>
            <w:vAlign w:val="center"/>
          </w:tcPr>
          <w:p>
            <w:pPr>
              <w:jc w:val="left"/>
            </w:pPr>
            <w:r>
              <w:rPr>
                <w:rFonts w:ascii="宋体" w:hAnsi="宋体" w:eastAsia="宋体" w:cs="宋体"/>
                <w:b w:val="0"/>
                <w:i w:val="0"/>
                <w:color w:val="000000"/>
                <w:sz w:val="16"/>
              </w:rPr>
              <w:t>30703</w:t>
            </w:r>
          </w:p>
        </w:tc>
        <w:tc>
          <w:tcPr>
            <w:tcW w:w="3420" w:type="dxa"/>
            <w:vAlign w:val="center"/>
          </w:tcPr>
          <w:p>
            <w:pPr>
              <w:jc w:val="left"/>
            </w:pPr>
            <w:r>
              <w:rPr>
                <w:rFonts w:ascii="宋体" w:hAnsi="宋体" w:eastAsia="宋体" w:cs="宋体"/>
                <w:b w:val="0"/>
                <w:i w:val="0"/>
                <w:color w:val="000000"/>
                <w:sz w:val="16"/>
              </w:rPr>
              <w:t xml:space="preserve">  国内债务发行费用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658.22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24.06</w:t>
            </w:r>
          </w:p>
        </w:tc>
        <w:tc>
          <w:tcPr>
            <w:tcW w:w="560" w:type="dxa"/>
            <w:vAlign w:val="center"/>
          </w:tcPr>
          <w:p>
            <w:pPr>
              <w:jc w:val="left"/>
            </w:pPr>
            <w:r>
              <w:rPr>
                <w:rFonts w:ascii="宋体" w:hAnsi="宋体" w:eastAsia="宋体" w:cs="宋体"/>
                <w:b w:val="0"/>
                <w:i w:val="0"/>
                <w:color w:val="000000"/>
                <w:sz w:val="16"/>
              </w:rPr>
              <w:t>30704</w:t>
            </w:r>
          </w:p>
        </w:tc>
        <w:tc>
          <w:tcPr>
            <w:tcW w:w="3420" w:type="dxa"/>
            <w:vAlign w:val="center"/>
          </w:tcPr>
          <w:p>
            <w:pPr>
              <w:jc w:val="left"/>
            </w:pPr>
            <w:r>
              <w:rPr>
                <w:rFonts w:ascii="宋体" w:hAnsi="宋体" w:eastAsia="宋体" w:cs="宋体"/>
                <w:b w:val="0"/>
                <w:i w:val="0"/>
                <w:color w:val="000000"/>
                <w:sz w:val="16"/>
              </w:rPr>
              <w:t xml:space="preserve">  国外债务发行费用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486.98</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986.47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745.47</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315.66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157.83</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345.76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94.32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17.22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59.82</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487.56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20.50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1.02</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390.53</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154.77</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1.50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24.30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3.89</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7.72</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0.66</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32.94</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11.92</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w:t>
            </w:r>
          </w:p>
        </w:tc>
        <w:tc>
          <w:tcPr>
            <w:tcW w:w="3420" w:type="dxa"/>
            <w:vAlign w:val="center"/>
          </w:tcPr>
          <w:p>
            <w:pPr>
              <w:jc w:val="left"/>
            </w:pPr>
            <w:r>
              <w:rPr>
                <w:rFonts w:ascii="宋体" w:hAnsi="宋体" w:eastAsia="宋体" w:cs="宋体"/>
                <w:b w:val="0"/>
                <w:i w:val="0"/>
                <w:color w:val="000000"/>
                <w:sz w:val="16"/>
              </w:rPr>
              <w:t>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4.22</w:t>
            </w:r>
          </w:p>
        </w:tc>
        <w:tc>
          <w:tcPr>
            <w:tcW w:w="560" w:type="dxa"/>
            <w:vAlign w:val="center"/>
          </w:tcPr>
          <w:p>
            <w:pPr>
              <w:jc w:val="left"/>
            </w:pPr>
            <w:r>
              <w:rPr>
                <w:rFonts w:ascii="宋体" w:hAnsi="宋体" w:eastAsia="宋体" w:cs="宋体"/>
                <w:b w:val="0"/>
                <w:i w:val="0"/>
                <w:color w:val="000000"/>
                <w:sz w:val="16"/>
              </w:rPr>
              <w:t>31201</w:t>
            </w:r>
          </w:p>
        </w:tc>
        <w:tc>
          <w:tcPr>
            <w:tcW w:w="3420" w:type="dxa"/>
            <w:vAlign w:val="center"/>
          </w:tcPr>
          <w:p>
            <w:pPr>
              <w:jc w:val="left"/>
            </w:pPr>
            <w:r>
              <w:rPr>
                <w:rFonts w:ascii="宋体" w:hAnsi="宋体" w:eastAsia="宋体" w:cs="宋体"/>
                <w:b w:val="0"/>
                <w:i w:val="0"/>
                <w:color w:val="000000"/>
                <w:sz w:val="16"/>
              </w:rPr>
              <w:t xml:space="preserve">  资本金注入</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7.43</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31203</w:t>
            </w:r>
          </w:p>
        </w:tc>
        <w:tc>
          <w:tcPr>
            <w:tcW w:w="3420" w:type="dxa"/>
            <w:vAlign w:val="center"/>
          </w:tcPr>
          <w:p>
            <w:pPr>
              <w:jc w:val="left"/>
            </w:pPr>
            <w:r>
              <w:rPr>
                <w:rFonts w:ascii="宋体" w:hAnsi="宋体" w:eastAsia="宋体" w:cs="宋体"/>
                <w:b w:val="0"/>
                <w:i w:val="0"/>
                <w:color w:val="000000"/>
                <w:sz w:val="16"/>
              </w:rPr>
              <w:t xml:space="preserve">  政府投资基金股权投资</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65.22</w:t>
            </w:r>
          </w:p>
        </w:tc>
        <w:tc>
          <w:tcPr>
            <w:tcW w:w="560" w:type="dxa"/>
            <w:vAlign w:val="center"/>
          </w:tcPr>
          <w:p>
            <w:pPr>
              <w:jc w:val="left"/>
            </w:pPr>
            <w:r>
              <w:rPr>
                <w:rFonts w:ascii="宋体" w:hAnsi="宋体" w:eastAsia="宋体" w:cs="宋体"/>
                <w:b w:val="0"/>
                <w:i w:val="0"/>
                <w:color w:val="000000"/>
                <w:sz w:val="16"/>
              </w:rPr>
              <w:t>31204</w:t>
            </w:r>
          </w:p>
        </w:tc>
        <w:tc>
          <w:tcPr>
            <w:tcW w:w="3420" w:type="dxa"/>
            <w:vAlign w:val="center"/>
          </w:tcPr>
          <w:p>
            <w:pPr>
              <w:jc w:val="left"/>
            </w:pPr>
            <w:r>
              <w:rPr>
                <w:rFonts w:ascii="宋体" w:hAnsi="宋体" w:eastAsia="宋体" w:cs="宋体"/>
                <w:b w:val="0"/>
                <w:i w:val="0"/>
                <w:color w:val="000000"/>
                <w:sz w:val="16"/>
              </w:rPr>
              <w:t xml:space="preserve">  费用补贴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9.93</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161.78</w:t>
            </w:r>
          </w:p>
        </w:tc>
        <w:tc>
          <w:tcPr>
            <w:tcW w:w="560" w:type="dxa"/>
            <w:vAlign w:val="center"/>
          </w:tcPr>
          <w:p>
            <w:pPr>
              <w:jc w:val="left"/>
            </w:pPr>
            <w:r>
              <w:rPr>
                <w:rFonts w:ascii="宋体" w:hAnsi="宋体" w:eastAsia="宋体" w:cs="宋体"/>
                <w:b w:val="0"/>
                <w:i w:val="0"/>
                <w:color w:val="000000"/>
                <w:sz w:val="16"/>
              </w:rPr>
              <w:t>31205</w:t>
            </w:r>
          </w:p>
        </w:tc>
        <w:tc>
          <w:tcPr>
            <w:tcW w:w="3420" w:type="dxa"/>
            <w:vAlign w:val="center"/>
          </w:tcPr>
          <w:p>
            <w:pPr>
              <w:jc w:val="left"/>
            </w:pPr>
            <w:r>
              <w:rPr>
                <w:rFonts w:ascii="宋体" w:hAnsi="宋体" w:eastAsia="宋体" w:cs="宋体"/>
                <w:b w:val="0"/>
                <w:i w:val="0"/>
                <w:color w:val="000000"/>
                <w:sz w:val="16"/>
              </w:rPr>
              <w:t xml:space="preserve">  利息补贴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9.71</w:t>
            </w:r>
          </w:p>
        </w:tc>
        <w:tc>
          <w:tcPr>
            <w:tcW w:w="560" w:type="dxa"/>
            <w:vAlign w:val="center"/>
          </w:tcPr>
          <w:p>
            <w:pPr>
              <w:jc w:val="left"/>
            </w:pPr>
            <w:r>
              <w:rPr>
                <w:rFonts w:ascii="宋体" w:hAnsi="宋体" w:eastAsia="宋体" w:cs="宋体"/>
                <w:b w:val="0"/>
                <w:i w:val="0"/>
                <w:color w:val="000000"/>
                <w:sz w:val="16"/>
              </w:rPr>
              <w:t>31299</w:t>
            </w:r>
          </w:p>
        </w:tc>
        <w:tc>
          <w:tcPr>
            <w:tcW w:w="3420" w:type="dxa"/>
            <w:vAlign w:val="center"/>
          </w:tcPr>
          <w:p>
            <w:pPr>
              <w:jc w:val="left"/>
            </w:pPr>
            <w:r>
              <w:rPr>
                <w:rFonts w:ascii="宋体" w:hAnsi="宋体" w:eastAsia="宋体" w:cs="宋体"/>
                <w:b w:val="0"/>
                <w:i w:val="0"/>
                <w:color w:val="000000"/>
                <w:sz w:val="16"/>
              </w:rPr>
              <w:t xml:space="preserve">  其他对企业补助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82.58</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67.59</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44.88</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w:t>
            </w:r>
          </w:p>
        </w:tc>
        <w:tc>
          <w:tcPr>
            <w:tcW w:w="2100" w:type="dxa"/>
            <w:vAlign w:val="center"/>
          </w:tcPr>
          <w:p>
            <w:pPr>
              <w:jc w:val="left"/>
            </w:pPr>
            <w:r>
              <w:rPr>
                <w:rFonts w:ascii="宋体" w:hAnsi="宋体" w:eastAsia="宋体" w:cs="宋体"/>
                <w:b w:val="0"/>
                <w:i w:val="0"/>
                <w:color w:val="000000"/>
                <w:sz w:val="16"/>
              </w:rPr>
              <w:t>债务利息及费用支出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30701</w:t>
            </w:r>
          </w:p>
        </w:tc>
        <w:tc>
          <w:tcPr>
            <w:tcW w:w="2100" w:type="dxa"/>
            <w:vAlign w:val="center"/>
          </w:tcPr>
          <w:p>
            <w:pPr>
              <w:jc w:val="left"/>
            </w:pPr>
            <w:r>
              <w:rPr>
                <w:rFonts w:ascii="宋体" w:hAnsi="宋体" w:eastAsia="宋体" w:cs="宋体"/>
                <w:b w:val="0"/>
                <w:i w:val="0"/>
                <w:color w:val="000000"/>
                <w:sz w:val="16"/>
              </w:rPr>
              <w:t xml:space="preserve">  国内债务付息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30702</w:t>
            </w:r>
          </w:p>
        </w:tc>
        <w:tc>
          <w:tcPr>
            <w:tcW w:w="2100" w:type="dxa"/>
            <w:vAlign w:val="center"/>
          </w:tcPr>
          <w:p>
            <w:pPr>
              <w:jc w:val="left"/>
            </w:pPr>
            <w:r>
              <w:rPr>
                <w:rFonts w:ascii="宋体" w:hAnsi="宋体" w:eastAsia="宋体" w:cs="宋体"/>
                <w:b w:val="0"/>
                <w:i w:val="0"/>
                <w:color w:val="000000"/>
                <w:sz w:val="16"/>
              </w:rPr>
              <w:t xml:space="preserve">  国外债务付息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tc>
        <w:tc>
          <w:tcPr>
            <w:tcW w:w="2100" w:type="dxa"/>
            <w:vAlign w:val="center"/>
          </w:tcPr>
          <w:p/>
        </w:tc>
        <w:tc>
          <w:tcPr>
            <w:tcW w:w="1360" w:type="dxa"/>
            <w:vAlign w:val="center"/>
          </w:tcP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4,861.31</w:t>
            </w:r>
          </w:p>
        </w:tc>
        <w:tc>
          <w:tcPr>
            <w:tcW w:w="800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471.93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24" w:name="_Toc13251"/>
      <w:bookmarkStart w:id="25" w:name="_Toc_1_2_0000000044"/>
      <w:r>
        <w:rPr>
          <w:rFonts w:hint="eastAsia" w:ascii="楷体" w:hAnsi="楷体" w:eastAsia="楷体" w:cs="楷体"/>
          <w:b w:val="0"/>
          <w:bCs/>
          <w:lang w:val="en-US" w:eastAsia="zh-CN"/>
        </w:rPr>
        <w:t>2023年度政府性基金预算财政拨款收入支出决算表</w:t>
      </w:r>
      <w:bookmarkEnd w:id="24"/>
      <w:bookmarkEnd w:id="25"/>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年初结转和结余</w:t>
            </w:r>
          </w:p>
        </w:tc>
        <w:tc>
          <w:tcPr>
            <w:tcW w:w="1600" w:type="dxa"/>
            <w:vMerge w:val="restart"/>
            <w:vAlign w:val="center"/>
          </w:tcPr>
          <w:p>
            <w:pPr>
              <w:jc w:val="center"/>
            </w:pPr>
            <w:r>
              <w:rPr>
                <w:rFonts w:ascii="宋体" w:hAnsi="宋体" w:eastAsia="宋体" w:cs="宋体"/>
                <w:b w:val="0"/>
                <w:i w:val="0"/>
                <w:color w:val="000000"/>
                <w:sz w:val="19"/>
              </w:rPr>
              <w:t>本年收入</w:t>
            </w:r>
          </w:p>
        </w:tc>
        <w:tc>
          <w:tcPr>
            <w:tcW w:w="4800" w:type="dxa"/>
            <w:gridSpan w:val="3"/>
            <w:vAlign w:val="center"/>
          </w:tcPr>
          <w:p>
            <w:pPr>
              <w:jc w:val="center"/>
            </w:pPr>
            <w:r>
              <w:rPr>
                <w:rFonts w:ascii="宋体" w:hAnsi="宋体" w:eastAsia="宋体" w:cs="宋体"/>
                <w:b w:val="0"/>
                <w:i w:val="0"/>
                <w:color w:val="000000"/>
                <w:sz w:val="19"/>
              </w:rPr>
              <w:t>本年支出</w:t>
            </w:r>
          </w:p>
        </w:tc>
        <w:tc>
          <w:tcPr>
            <w:tcW w:w="1578" w:type="dxa"/>
            <w:vMerge w:val="restart"/>
            <w:vAlign w:val="center"/>
          </w:tcPr>
          <w:p>
            <w:pPr>
              <w:jc w:val="center"/>
            </w:pPr>
            <w:r>
              <w:rPr>
                <w:rFonts w:ascii="宋体" w:hAnsi="宋体" w:eastAsia="宋体" w:cs="宋体"/>
                <w:b w:val="0"/>
                <w:i w:val="0"/>
                <w:color w:val="000000"/>
                <w:sz w:val="19"/>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restart"/>
            <w:vAlign w:val="center"/>
          </w:tcPr>
          <w:p>
            <w:pPr>
              <w:jc w:val="center"/>
            </w:pPr>
            <w:r>
              <w:rPr>
                <w:rFonts w:ascii="宋体" w:hAnsi="宋体" w:eastAsia="宋体" w:cs="宋体"/>
                <w:b w:val="0"/>
                <w:i w:val="0"/>
                <w:color w:val="000000"/>
                <w:sz w:val="19"/>
              </w:rPr>
              <w:t>小计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7"/>
              </w:rPr>
              <w:t>1</w:t>
            </w:r>
          </w:p>
        </w:tc>
        <w:tc>
          <w:tcPr>
            <w:tcW w:w="1600" w:type="dxa"/>
            <w:vAlign w:val="center"/>
          </w:tcPr>
          <w:p>
            <w:pPr>
              <w:jc w:val="center"/>
            </w:pPr>
            <w:r>
              <w:rPr>
                <w:rFonts w:ascii="宋体" w:hAnsi="宋体" w:eastAsia="宋体" w:cs="宋体"/>
                <w:b w:val="0"/>
                <w:i w:val="0"/>
                <w:color w:val="000000"/>
                <w:sz w:val="17"/>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tc>
        <w:tc>
          <w:tcPr>
            <w:tcW w:w="348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rPr>
        <w:t>说明：本单位没有政府性基金收入，也没有使用政府性基金安排的支出，故本表无数据。</w:t>
      </w:r>
    </w:p>
    <w:p>
      <w:pPr>
        <w:pStyle w:val="3"/>
        <w:bidi w:val="0"/>
        <w:jc w:val="center"/>
        <w:rPr>
          <w:rFonts w:hint="eastAsia" w:ascii="楷体" w:hAnsi="楷体" w:eastAsia="楷体" w:cs="楷体"/>
          <w:b w:val="0"/>
          <w:bCs/>
          <w:lang w:val="en-US" w:eastAsia="zh-CN"/>
        </w:rPr>
      </w:pPr>
      <w:bookmarkStart w:id="26" w:name="_Toc_1_2_0000000045"/>
      <w:bookmarkStart w:id="27" w:name="_Toc28221"/>
      <w:r>
        <w:rPr>
          <w:rFonts w:hint="eastAsia" w:ascii="楷体" w:hAnsi="楷体" w:eastAsia="楷体" w:cs="楷体"/>
          <w:b w:val="0"/>
          <w:bCs/>
          <w:lang w:val="en-US" w:eastAsia="zh-CN"/>
        </w:rPr>
        <w:t>2023年度国有资本经营预算财政拨款支出决算表</w:t>
      </w:r>
      <w:bookmarkEnd w:id="26"/>
      <w:bookmarkEnd w:id="27"/>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   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tc>
        <w:tc>
          <w:tcPr>
            <w:tcW w:w="5360" w:type="dxa"/>
            <w:vAlign w:val="center"/>
          </w:tcP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注：本表反映本年度国有资本经营预算财政拨款支出情况。</w:t>
            </w:r>
          </w:p>
        </w:tc>
      </w:tr>
    </w:tbl>
    <w:p>
      <w:pPr>
        <w:snapToGrid w:val="0"/>
        <w:spacing w:before="0" w:after="0" w:line="0" w:lineRule="auto"/>
      </w:pPr>
      <w:r>
        <w:rPr>
          <w:sz w:val="8"/>
        </w:rPr>
        <w:t xml:space="preserve"> </w:t>
      </w:r>
    </w:p>
    <w:p>
      <w:pPr>
        <w:jc w:val="left"/>
        <w:rPr>
          <w:rFonts w:hint="eastAsia"/>
          <w:sz w:val="21"/>
          <w:szCs w:val="21"/>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说明：本单位没有国有资本经营收入，也没有使用国有资本经营安排的支出，故本表无数据。</w:t>
      </w:r>
    </w:p>
    <w:p>
      <w:pPr>
        <w:jc w:val="left"/>
        <w:rPr>
          <w:rFonts w:hint="eastAsia"/>
          <w:sz w:val="21"/>
          <w:szCs w:val="21"/>
          <w:highlight w:val="none"/>
          <w:lang w:val="en-US" w:eastAsia="zh-CN"/>
        </w:rPr>
      </w:pPr>
    </w:p>
    <w:p>
      <w:pPr>
        <w:jc w:val="left"/>
        <w:rPr>
          <w:rFonts w:hint="eastAsia"/>
          <w:sz w:val="21"/>
          <w:szCs w:val="21"/>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28" w:name="_Toc10945"/>
      <w:bookmarkStart w:id="29" w:name="_Toc_1_2_0000000046"/>
      <w:r>
        <w:rPr>
          <w:rFonts w:hint="eastAsia" w:ascii="楷体" w:hAnsi="楷体" w:eastAsia="楷体" w:cs="楷体"/>
          <w:b w:val="0"/>
          <w:bCs/>
          <w:lang w:val="en-US" w:eastAsia="zh-CN"/>
        </w:rPr>
        <w:t>2023年度财政拨款“三公”经费支出决算表</w:t>
      </w:r>
      <w:bookmarkEnd w:id="28"/>
      <w:bookmarkEnd w:id="2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单位：衢州市财政局</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center"/>
            </w:pPr>
            <w:r>
              <w:rPr>
                <w:rFonts w:ascii="宋体" w:hAnsi="宋体" w:eastAsia="宋体" w:cs="宋体"/>
                <w:b w:val="0"/>
                <w:i w:val="0"/>
                <w:color w:val="000000"/>
                <w:sz w:val="28"/>
              </w:rPr>
              <w:t>项   目</w:t>
            </w:r>
          </w:p>
        </w:tc>
        <w:tc>
          <w:tcPr>
            <w:tcW w:w="3700" w:type="dxa"/>
            <w:vAlign w:val="center"/>
          </w:tcPr>
          <w:p>
            <w:pPr>
              <w:jc w:val="center"/>
            </w:pPr>
            <w:r>
              <w:rPr>
                <w:rFonts w:ascii="宋体" w:hAnsi="宋体" w:eastAsia="宋体" w:cs="宋体"/>
                <w:b w:val="0"/>
                <w:i w:val="0"/>
                <w:color w:val="000000"/>
                <w:sz w:val="28"/>
              </w:rPr>
              <w:t>预算数</w:t>
            </w:r>
          </w:p>
        </w:tc>
        <w:tc>
          <w:tcPr>
            <w:tcW w:w="3698" w:type="dxa"/>
            <w:vAlign w:val="center"/>
          </w:tcPr>
          <w:p>
            <w:pPr>
              <w:jc w:val="center"/>
            </w:pPr>
            <w:r>
              <w:rPr>
                <w:rFonts w:ascii="宋体" w:hAnsi="宋体" w:eastAsia="宋体" w:cs="宋体"/>
                <w:b w:val="0"/>
                <w:i w:val="0"/>
                <w:color w:val="000000"/>
                <w:sz w:val="2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“三公”经费支出合计</w:t>
            </w:r>
          </w:p>
        </w:tc>
        <w:tc>
          <w:tcPr>
            <w:tcW w:w="3700" w:type="dxa"/>
            <w:vAlign w:val="center"/>
          </w:tcPr>
          <w:p>
            <w:pPr>
              <w:jc w:val="right"/>
            </w:pPr>
            <w:r>
              <w:rPr>
                <w:rFonts w:ascii="宋体" w:hAnsi="宋体" w:eastAsia="宋体" w:cs="宋体"/>
                <w:b w:val="0"/>
                <w:i w:val="0"/>
                <w:color w:val="000000"/>
                <w:sz w:val="28"/>
              </w:rPr>
              <w:t>17.43</w:t>
            </w:r>
          </w:p>
        </w:tc>
        <w:tc>
          <w:tcPr>
            <w:tcW w:w="3698" w:type="dxa"/>
            <w:vAlign w:val="center"/>
          </w:tcPr>
          <w:p>
            <w:pPr>
              <w:jc w:val="right"/>
            </w:pPr>
            <w:r>
              <w:rPr>
                <w:rFonts w:ascii="宋体" w:hAnsi="宋体" w:eastAsia="宋体" w:cs="宋体"/>
                <w:b w:val="0"/>
                <w:i w:val="0"/>
                <w:color w:val="000000"/>
                <w:sz w:val="28"/>
              </w:rPr>
              <w:t>17.43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1．因公出国（境）费用</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2．公务用车购置及运行维护费小计</w:t>
            </w:r>
          </w:p>
        </w:tc>
        <w:tc>
          <w:tcPr>
            <w:tcW w:w="3700" w:type="dxa"/>
            <w:vAlign w:val="center"/>
          </w:tcPr>
          <w:p>
            <w:pPr>
              <w:jc w:val="right"/>
            </w:pPr>
            <w:r>
              <w:rPr>
                <w:rFonts w:ascii="宋体" w:hAnsi="宋体" w:eastAsia="宋体" w:cs="宋体"/>
                <w:b w:val="0"/>
                <w:i w:val="0"/>
                <w:color w:val="000000"/>
                <w:sz w:val="28"/>
              </w:rPr>
              <w:t>9.71</w:t>
            </w:r>
          </w:p>
        </w:tc>
        <w:tc>
          <w:tcPr>
            <w:tcW w:w="3698" w:type="dxa"/>
            <w:vAlign w:val="center"/>
          </w:tcPr>
          <w:p>
            <w:pPr>
              <w:jc w:val="right"/>
            </w:pPr>
            <w:r>
              <w:rPr>
                <w:rFonts w:ascii="宋体" w:hAnsi="宋体" w:eastAsia="宋体" w:cs="宋体"/>
                <w:b w:val="0"/>
                <w:i w:val="0"/>
                <w:color w:val="000000"/>
                <w:sz w:val="28"/>
              </w:rPr>
              <w:t>9.71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（1）公务用车购置费</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（2）公务用车运行维护费</w:t>
            </w:r>
          </w:p>
        </w:tc>
        <w:tc>
          <w:tcPr>
            <w:tcW w:w="3700" w:type="dxa"/>
            <w:vAlign w:val="center"/>
          </w:tcPr>
          <w:p>
            <w:pPr>
              <w:jc w:val="right"/>
            </w:pPr>
            <w:r>
              <w:rPr>
                <w:rFonts w:ascii="宋体" w:hAnsi="宋体" w:eastAsia="宋体" w:cs="宋体"/>
                <w:b w:val="0"/>
                <w:i w:val="0"/>
                <w:color w:val="000000"/>
                <w:sz w:val="28"/>
              </w:rPr>
              <w:t>9.71</w:t>
            </w:r>
          </w:p>
        </w:tc>
        <w:tc>
          <w:tcPr>
            <w:tcW w:w="3698" w:type="dxa"/>
            <w:vAlign w:val="center"/>
          </w:tcPr>
          <w:p>
            <w:pPr>
              <w:jc w:val="right"/>
            </w:pPr>
            <w:r>
              <w:rPr>
                <w:rFonts w:ascii="宋体" w:hAnsi="宋体" w:eastAsia="宋体" w:cs="宋体"/>
                <w:b w:val="0"/>
                <w:i w:val="0"/>
                <w:color w:val="000000"/>
                <w:sz w:val="28"/>
              </w:rPr>
              <w:t>9.71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3．公务接待费</w:t>
            </w:r>
          </w:p>
        </w:tc>
        <w:tc>
          <w:tcPr>
            <w:tcW w:w="3700" w:type="dxa"/>
            <w:vAlign w:val="center"/>
          </w:tcPr>
          <w:p>
            <w:pPr>
              <w:jc w:val="right"/>
            </w:pPr>
            <w:r>
              <w:rPr>
                <w:rFonts w:ascii="宋体" w:hAnsi="宋体" w:eastAsia="宋体" w:cs="宋体"/>
                <w:b w:val="0"/>
                <w:i w:val="0"/>
                <w:color w:val="000000"/>
                <w:sz w:val="28"/>
              </w:rPr>
              <w:t>7.72</w:t>
            </w:r>
          </w:p>
        </w:tc>
        <w:tc>
          <w:tcPr>
            <w:tcW w:w="3698" w:type="dxa"/>
            <w:vAlign w:val="center"/>
          </w:tcPr>
          <w:p>
            <w:pPr>
              <w:jc w:val="right"/>
            </w:pPr>
            <w:r>
              <w:rPr>
                <w:rFonts w:ascii="宋体" w:hAnsi="宋体" w:eastAsia="宋体" w:cs="宋体"/>
                <w:b w:val="0"/>
                <w:i w:val="0"/>
                <w:color w:val="000000"/>
                <w:sz w:val="28"/>
              </w:rPr>
              <w:t>7.72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8"/>
              </w:rPr>
              <w:t>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pPr>
        <w:snapToGrid w:val="0"/>
        <w:spacing w:before="0" w:after="0" w:line="0" w:lineRule="auto"/>
      </w:pPr>
      <w:r>
        <w:rPr>
          <w:sz w:val="8"/>
        </w:rPr>
        <w:t xml:space="preserve"> </w:t>
      </w:r>
    </w:p>
    <w:p>
      <w:pPr>
        <w:jc w:val="left"/>
        <w:rPr>
          <w:rFonts w:hint="eastAsia" w:ascii="黑体" w:hAnsi="黑体" w:eastAsia="黑体" w:cs="黑体"/>
          <w:sz w:val="36"/>
          <w:szCs w:val="36"/>
          <w:highlight w:val="none"/>
          <w:lang w:val="en-US" w:eastAsia="zh-CN"/>
        </w:rPr>
      </w:pPr>
    </w:p>
    <w:p>
      <w:pPr>
        <w:jc w:val="left"/>
        <w:rPr>
          <w:rFonts w:hint="eastAsia" w:ascii="黑体" w:hAnsi="黑体" w:eastAsia="黑体" w:cs="黑体"/>
          <w:sz w:val="36"/>
          <w:szCs w:val="36"/>
          <w:highlight w:val="none"/>
          <w:lang w:val="en-US" w:eastAsia="zh-CN"/>
        </w:rPr>
        <w:sectPr>
          <w:pgSz w:w="16838" w:h="11906" w:orient="landscape"/>
          <w:pgMar w:top="1134" w:right="1440" w:bottom="1134"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val="0"/>
          <w:bCs/>
          <w:color w:val="000000"/>
          <w:sz w:val="32"/>
          <w:szCs w:val="24"/>
          <w:highlight w:val="none"/>
          <w:lang w:val="en-US"/>
        </w:rPr>
      </w:pPr>
      <w:bookmarkStart w:id="30" w:name="_Toc_1_2_0000000047"/>
      <w:bookmarkStart w:id="31" w:name="_Toc20367"/>
      <w:r>
        <w:rPr>
          <w:rFonts w:hint="eastAsia" w:ascii="黑体" w:hAnsi="黑体" w:eastAsia="黑体"/>
          <w:b w:val="0"/>
          <w:bCs/>
          <w:color w:val="000000"/>
          <w:sz w:val="32"/>
          <w:szCs w:val="24"/>
          <w:highlight w:val="none"/>
          <w:lang w:val="en-US" w:eastAsia="zh-CN"/>
        </w:rPr>
        <w:t>三、2023年度单位决算情况说明</w:t>
      </w:r>
      <w:bookmarkEnd w:id="30"/>
      <w:bookmarkEnd w:id="31"/>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2" w:name="_Toc14213"/>
      <w:bookmarkStart w:id="33" w:name="_Toc_1_2_0000000048"/>
      <w:r>
        <w:rPr>
          <w:rFonts w:hint="eastAsia" w:ascii="黑体" w:hAnsi="宋体" w:eastAsia="黑体" w:cs="黑体"/>
          <w:kern w:val="2"/>
          <w:sz w:val="32"/>
          <w:szCs w:val="32"/>
          <w:lang w:val="en-US" w:eastAsia="zh-CN"/>
        </w:rPr>
        <w:t>（一）收入支出决算总体情况说明</w:t>
      </w:r>
      <w:bookmarkEnd w:id="32"/>
      <w:bookmarkEnd w:id="33"/>
    </w:p>
    <w:p>
      <w:pPr>
        <w:keepNext w:val="0"/>
        <w:keepLines w:val="0"/>
        <w:widowControl w:val="0"/>
        <w:suppressLineNumbers w:val="0"/>
        <w:spacing w:before="0" w:beforeAutospacing="0" w:after="0" w:afterAutospacing="0"/>
        <w:ind w:left="0" w:right="0" w:firstLine="640" w:firstLineChars="200"/>
        <w:jc w:val="both"/>
      </w:pPr>
      <w:r>
        <w:rPr>
          <w:rFonts w:hint="eastAsia" w:ascii="仿宋" w:hAnsi="仿宋" w:eastAsia="仿宋"/>
          <w:color w:val="000000"/>
          <w:sz w:val="32"/>
          <w:szCs w:val="24"/>
          <w:highlight w:val="none"/>
          <w:lang w:val="en-US" w:eastAsia="zh-CN"/>
        </w:rPr>
        <w:t>2023</w:t>
      </w:r>
      <w:r>
        <w:rPr>
          <w:rFonts w:hint="eastAsia" w:ascii="仿宋" w:hAnsi="仿宋" w:eastAsia="仿宋"/>
          <w:color w:val="000000"/>
          <w:sz w:val="32"/>
          <w:szCs w:val="24"/>
          <w:highlight w:val="none"/>
          <w:lang w:val="en-US"/>
        </w:rPr>
        <w:t>年度收入总计</w:t>
      </w:r>
      <w:r>
        <w:rPr>
          <w:rFonts w:hint="eastAsia" w:ascii="仿宋" w:hAnsi="仿宋" w:eastAsia="仿宋"/>
          <w:color w:val="000000"/>
          <w:sz w:val="32"/>
          <w:szCs w:val="24"/>
          <w:highlight w:val="none"/>
          <w:lang w:val="en-US" w:eastAsia="zh-CN"/>
        </w:rPr>
        <w:t>6368.88</w:t>
      </w:r>
      <w:r>
        <w:rPr>
          <w:rFonts w:hint="eastAsia" w:ascii="仿宋" w:hAnsi="仿宋" w:eastAsia="仿宋"/>
          <w:color w:val="000000"/>
          <w:sz w:val="32"/>
          <w:szCs w:val="24"/>
          <w:highlight w:val="none"/>
          <w:lang w:val="en-US"/>
        </w:rPr>
        <w:t>万元，支出总计</w:t>
      </w:r>
      <w:r>
        <w:rPr>
          <w:rFonts w:hint="eastAsia" w:ascii="仿宋" w:hAnsi="仿宋" w:eastAsia="仿宋"/>
          <w:color w:val="000000"/>
          <w:sz w:val="32"/>
          <w:szCs w:val="24"/>
          <w:highlight w:val="none"/>
          <w:lang w:val="en-US" w:eastAsia="zh-CN"/>
        </w:rPr>
        <w:t>6368.88</w:t>
      </w:r>
      <w:r>
        <w:rPr>
          <w:rFonts w:hint="eastAsia" w:ascii="仿宋" w:hAnsi="仿宋" w:eastAsia="仿宋"/>
          <w:color w:val="000000"/>
          <w:sz w:val="32"/>
          <w:szCs w:val="24"/>
          <w:highlight w:val="none"/>
          <w:lang w:val="en-US"/>
        </w:rPr>
        <w:t>万元,与</w:t>
      </w:r>
      <w:r>
        <w:rPr>
          <w:rFonts w:hint="eastAsia" w:ascii="仿宋" w:hAnsi="仿宋" w:eastAsia="仿宋"/>
          <w:color w:val="000000"/>
          <w:sz w:val="32"/>
          <w:szCs w:val="24"/>
          <w:highlight w:val="none"/>
          <w:lang w:val="en-US" w:eastAsia="zh-CN"/>
        </w:rPr>
        <w:t>2022</w:t>
      </w:r>
      <w:r>
        <w:rPr>
          <w:rFonts w:hint="eastAsia" w:ascii="仿宋" w:hAnsi="仿宋" w:eastAsia="仿宋"/>
          <w:color w:val="000000"/>
          <w:sz w:val="32"/>
          <w:szCs w:val="24"/>
          <w:highlight w:val="none"/>
          <w:lang w:val="en-US"/>
        </w:rPr>
        <w:t>年度相比，</w:t>
      </w:r>
      <w:r>
        <w:rPr>
          <w:rFonts w:hint="eastAsia" w:ascii="仿宋" w:hAnsi="仿宋" w:eastAsia="仿宋"/>
          <w:color w:val="000000"/>
          <w:sz w:val="32"/>
          <w:szCs w:val="24"/>
          <w:highlight w:val="none"/>
          <w:lang w:val="en-US" w:eastAsia="zh-CN"/>
        </w:rPr>
        <w:t>各</w:t>
      </w:r>
      <w:r>
        <w:rPr>
          <w:rFonts w:ascii="仿宋_GB2312" w:eastAsia="仿宋_GB2312" w:cs="仿宋_GB2312"/>
          <w:color w:val="auto"/>
          <w:sz w:val="32"/>
          <w:szCs w:val="32"/>
          <w:highlight w:val="none"/>
        </w:rPr>
        <w:t>减少70.99万元，下降1.10%</w:t>
      </w:r>
      <w:r>
        <w:rPr>
          <w:rFonts w:hint="eastAsia" w:ascii="仿宋" w:hAnsi="仿宋" w:eastAsia="仿宋"/>
          <w:color w:val="000000"/>
          <w:sz w:val="32"/>
          <w:szCs w:val="24"/>
          <w:highlight w:val="none"/>
          <w:lang w:val="en-US" w:eastAsia="zh-CN"/>
        </w:rPr>
        <w:t>,</w:t>
      </w:r>
      <w:r>
        <w:rPr>
          <w:rFonts w:hint="eastAsia" w:ascii="仿宋" w:hAnsi="仿宋" w:eastAsia="仿宋"/>
          <w:color w:val="000000"/>
          <w:sz w:val="32"/>
          <w:szCs w:val="24"/>
          <w:highlight w:val="none"/>
          <w:lang w:val="en-US"/>
        </w:rPr>
        <w:t>主要原因是：</w:t>
      </w:r>
      <w:r>
        <w:rPr>
          <w:rFonts w:hint="eastAsia" w:ascii="仿宋" w:hAnsi="仿宋" w:eastAsia="仿宋" w:cs="仿宋"/>
          <w:kern w:val="0"/>
          <w:sz w:val="32"/>
          <w:szCs w:val="32"/>
          <w:lang w:val="en-US" w:eastAsia="zh-CN"/>
        </w:rPr>
        <w:t>人员变动。</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4" w:name="_Toc3121"/>
      <w:bookmarkStart w:id="35" w:name="_Toc_1_2_0000000049"/>
      <w:r>
        <w:rPr>
          <w:rFonts w:hint="eastAsia" w:ascii="黑体" w:hAnsi="黑体" w:eastAsia="黑体"/>
          <w:b w:val="0"/>
          <w:bCs/>
          <w:color w:val="000000"/>
          <w:sz w:val="32"/>
          <w:szCs w:val="24"/>
          <w:highlight w:val="none"/>
          <w:lang w:val="en-US" w:eastAsia="zh-CN"/>
        </w:rPr>
        <w:t>（二）收入决算情况说明</w:t>
      </w:r>
      <w:bookmarkEnd w:id="34"/>
      <w:bookmarkEnd w:id="35"/>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本年收入合计</w:t>
      </w:r>
      <w:r>
        <w:rPr>
          <w:rFonts w:hint="eastAsia" w:ascii="仿宋" w:hAnsi="仿宋" w:eastAsia="仿宋"/>
          <w:color w:val="000000"/>
          <w:sz w:val="32"/>
          <w:szCs w:val="24"/>
          <w:highlight w:val="none"/>
          <w:lang w:val="en-US" w:eastAsia="zh-CN"/>
        </w:rPr>
        <w:t>6088.06</w:t>
      </w:r>
      <w:r>
        <w:rPr>
          <w:rFonts w:hint="eastAsia" w:ascii="仿宋" w:hAnsi="仿宋" w:eastAsia="仿宋"/>
          <w:color w:val="000000"/>
          <w:sz w:val="32"/>
          <w:szCs w:val="24"/>
          <w:highlight w:val="none"/>
          <w:lang w:val="en-US"/>
        </w:rPr>
        <w:t>万元；包括财政拨款收入</w:t>
      </w:r>
      <w:r>
        <w:rPr>
          <w:rFonts w:hint="eastAsia" w:ascii="仿宋" w:hAnsi="仿宋" w:eastAsia="仿宋"/>
          <w:color w:val="000000"/>
          <w:sz w:val="32"/>
          <w:szCs w:val="24"/>
          <w:highlight w:val="none"/>
          <w:lang w:val="en-US" w:eastAsia="zh-CN"/>
        </w:rPr>
        <w:t>5856.72</w:t>
      </w:r>
      <w:r>
        <w:rPr>
          <w:rFonts w:hint="eastAsia" w:ascii="仿宋" w:hAnsi="仿宋" w:eastAsia="仿宋"/>
          <w:color w:val="000000"/>
          <w:sz w:val="32"/>
          <w:szCs w:val="24"/>
          <w:highlight w:val="none"/>
          <w:lang w:val="en-US"/>
        </w:rPr>
        <w:t>万元（其中，一般公共预算</w:t>
      </w:r>
      <w:r>
        <w:rPr>
          <w:rFonts w:hint="eastAsia" w:ascii="仿宋" w:hAnsi="仿宋" w:eastAsia="仿宋"/>
          <w:color w:val="000000"/>
          <w:sz w:val="32"/>
          <w:szCs w:val="24"/>
          <w:highlight w:val="none"/>
          <w:lang w:val="en-US" w:eastAsia="zh-CN"/>
        </w:rPr>
        <w:t>5856.72</w:t>
      </w:r>
      <w:r>
        <w:rPr>
          <w:rFonts w:hint="eastAsia" w:ascii="仿宋" w:hAnsi="仿宋" w:eastAsia="仿宋"/>
          <w:color w:val="000000"/>
          <w:sz w:val="32"/>
          <w:szCs w:val="24"/>
          <w:highlight w:val="none"/>
          <w:lang w:val="en-US"/>
        </w:rPr>
        <w:t>万元，政府性基金预算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万元,国有资本经营预算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96.20</w:t>
      </w:r>
      <w:r>
        <w:rPr>
          <w:rFonts w:hint="eastAsia" w:ascii="仿宋" w:hAnsi="仿宋" w:eastAsia="仿宋"/>
          <w:color w:val="000000"/>
          <w:sz w:val="32"/>
          <w:szCs w:val="24"/>
          <w:highlight w:val="none"/>
          <w:lang w:val="en-US"/>
        </w:rPr>
        <w:t>%；上级补助收入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%；事业收入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%；附属单位上缴收入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%；其他收入</w:t>
      </w:r>
      <w:r>
        <w:rPr>
          <w:rFonts w:hint="eastAsia" w:ascii="仿宋" w:hAnsi="仿宋" w:eastAsia="仿宋"/>
          <w:color w:val="000000"/>
          <w:sz w:val="32"/>
          <w:szCs w:val="24"/>
          <w:highlight w:val="none"/>
          <w:lang w:val="en-US" w:eastAsia="zh-CN"/>
        </w:rPr>
        <w:t>231.34</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3.80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6" w:name="_Toc_1_2_0000000050"/>
      <w:bookmarkStart w:id="37" w:name="_Toc31087"/>
      <w:r>
        <w:rPr>
          <w:rFonts w:hint="eastAsia" w:ascii="黑体" w:hAnsi="宋体" w:eastAsia="黑体" w:cs="黑体"/>
          <w:kern w:val="2"/>
          <w:sz w:val="32"/>
          <w:szCs w:val="32"/>
          <w:lang w:val="en-US" w:eastAsia="zh-CN"/>
        </w:rPr>
        <w:t>（三）支出决算情况说明</w:t>
      </w:r>
      <w:bookmarkEnd w:id="36"/>
      <w:bookmarkEnd w:id="37"/>
    </w:p>
    <w:p>
      <w:pPr>
        <w:spacing w:beforeLines="0" w:afterLines="0" w:line="600" w:lineRule="exact"/>
        <w:ind w:firstLine="594"/>
        <w:rPr>
          <w:rFonts w:hint="eastAsia" w:ascii="黑体" w:hAnsi="宋体" w:eastAsia="黑体" w:cs="黑体"/>
          <w:kern w:val="2"/>
          <w:sz w:val="32"/>
          <w:szCs w:val="32"/>
          <w:highlight w:val="none"/>
          <w:lang w:val="en-US" w:eastAsia="zh-CN"/>
        </w:rPr>
      </w:pPr>
      <w:r>
        <w:rPr>
          <w:rFonts w:hint="eastAsia" w:ascii="仿宋" w:hAnsi="仿宋" w:eastAsia="仿宋"/>
          <w:color w:val="000000"/>
          <w:sz w:val="32"/>
          <w:szCs w:val="24"/>
          <w:highlight w:val="none"/>
          <w:lang w:val="en-US"/>
        </w:rPr>
        <w:t>本年支出合计</w:t>
      </w:r>
      <w:r>
        <w:rPr>
          <w:rFonts w:hint="eastAsia" w:ascii="仿宋" w:hAnsi="仿宋" w:eastAsia="仿宋"/>
          <w:color w:val="000000"/>
          <w:sz w:val="32"/>
          <w:szCs w:val="24"/>
          <w:highlight w:val="none"/>
          <w:lang w:val="en-US" w:eastAsia="zh-CN"/>
        </w:rPr>
        <w:t>6088.06</w:t>
      </w:r>
      <w:r>
        <w:rPr>
          <w:rFonts w:hint="eastAsia" w:ascii="仿宋" w:hAnsi="仿宋" w:eastAsia="仿宋"/>
          <w:color w:val="000000"/>
          <w:sz w:val="32"/>
          <w:szCs w:val="24"/>
          <w:highlight w:val="none"/>
          <w:lang w:val="en-US"/>
        </w:rPr>
        <w:t>万元，其中基本支出</w:t>
      </w:r>
      <w:r>
        <w:rPr>
          <w:rFonts w:hint="eastAsia" w:ascii="仿宋" w:hAnsi="仿宋" w:eastAsia="仿宋"/>
          <w:color w:val="000000"/>
          <w:sz w:val="32"/>
          <w:szCs w:val="24"/>
          <w:highlight w:val="none"/>
          <w:lang w:val="en-US" w:eastAsia="zh-CN"/>
        </w:rPr>
        <w:t>5333.24</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87.60</w:t>
      </w:r>
      <w:r>
        <w:rPr>
          <w:rFonts w:hint="eastAsia" w:ascii="仿宋" w:hAnsi="仿宋" w:eastAsia="仿宋"/>
          <w:color w:val="000000"/>
          <w:sz w:val="32"/>
          <w:szCs w:val="24"/>
          <w:highlight w:val="none"/>
          <w:lang w:val="en-US"/>
        </w:rPr>
        <w:t>%；项目支出</w:t>
      </w:r>
      <w:r>
        <w:rPr>
          <w:rFonts w:hint="eastAsia" w:ascii="仿宋" w:hAnsi="仿宋" w:eastAsia="仿宋"/>
          <w:color w:val="000000"/>
          <w:sz w:val="32"/>
          <w:szCs w:val="24"/>
          <w:highlight w:val="none"/>
          <w:lang w:val="en-US" w:eastAsia="zh-CN"/>
        </w:rPr>
        <w:t>754.82</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12.40</w:t>
      </w:r>
      <w:r>
        <w:rPr>
          <w:rFonts w:hint="eastAsia" w:ascii="仿宋" w:hAnsi="仿宋" w:eastAsia="仿宋"/>
          <w:color w:val="000000"/>
          <w:sz w:val="32"/>
          <w:szCs w:val="24"/>
          <w:highlight w:val="none"/>
          <w:lang w:val="en-US"/>
        </w:rPr>
        <w:t>%；上缴上级支出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%；对附属单位补助支出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8" w:name="_Toc32033"/>
      <w:bookmarkStart w:id="39" w:name="_Toc_1_2_0000000051"/>
      <w:r>
        <w:rPr>
          <w:rFonts w:hint="eastAsia" w:ascii="黑体" w:hAnsi="宋体" w:eastAsia="黑体" w:cs="黑体"/>
          <w:kern w:val="2"/>
          <w:sz w:val="32"/>
          <w:szCs w:val="32"/>
          <w:lang w:val="en-US" w:eastAsia="zh-CN"/>
        </w:rPr>
        <w:t>（四）财政拨款收入支出决算总体情况说明</w:t>
      </w:r>
      <w:bookmarkEnd w:id="38"/>
      <w:bookmarkEnd w:id="39"/>
    </w:p>
    <w:p>
      <w:pPr>
        <w:keepNext w:val="0"/>
        <w:keepLines w:val="0"/>
        <w:widowControl w:val="0"/>
        <w:suppressLineNumbers w:val="0"/>
        <w:spacing w:before="0" w:beforeAutospacing="0" w:after="0" w:afterAutospacing="0"/>
        <w:ind w:right="0" w:firstLine="640" w:firstLineChars="200"/>
        <w:jc w:val="both"/>
        <w:rPr>
          <w:rFonts w:hint="eastAsia" w:ascii="仿宋" w:hAnsi="仿宋" w:eastAsia="仿宋" w:cs="仿宋"/>
          <w:kern w:val="0"/>
          <w:sz w:val="32"/>
          <w:szCs w:val="32"/>
          <w:highlight w:val="none"/>
          <w:lang w:val="en-US" w:eastAsia="zh-CN"/>
        </w:rPr>
      </w:pPr>
      <w:r>
        <w:rPr>
          <w:rFonts w:hint="eastAsia" w:ascii="仿宋" w:hAnsi="仿宋" w:eastAsia="仿宋"/>
          <w:color w:val="000000"/>
          <w:sz w:val="32"/>
          <w:szCs w:val="24"/>
          <w:highlight w:val="none"/>
          <w:lang w:val="en-US" w:eastAsia="zh-CN"/>
        </w:rPr>
        <w:t>2023</w:t>
      </w:r>
      <w:r>
        <w:rPr>
          <w:rFonts w:hint="eastAsia" w:ascii="仿宋" w:hAnsi="仿宋" w:eastAsia="仿宋"/>
          <w:color w:val="000000"/>
          <w:sz w:val="32"/>
          <w:szCs w:val="24"/>
          <w:highlight w:val="none"/>
          <w:lang w:val="en-US"/>
        </w:rPr>
        <w:t>年度财政拨款收入总计</w:t>
      </w:r>
      <w:r>
        <w:rPr>
          <w:rFonts w:hint="eastAsia" w:ascii="仿宋" w:hAnsi="仿宋" w:eastAsia="仿宋"/>
          <w:color w:val="000000"/>
          <w:sz w:val="32"/>
          <w:szCs w:val="24"/>
          <w:highlight w:val="none"/>
          <w:lang w:val="en-US" w:eastAsia="zh-CN"/>
        </w:rPr>
        <w:t>5856.72</w:t>
      </w:r>
      <w:r>
        <w:rPr>
          <w:rFonts w:hint="eastAsia" w:ascii="仿宋" w:hAnsi="仿宋" w:eastAsia="仿宋"/>
          <w:color w:val="000000"/>
          <w:sz w:val="32"/>
          <w:szCs w:val="24"/>
          <w:highlight w:val="none"/>
          <w:lang w:val="en-US"/>
        </w:rPr>
        <w:t>万元，支出总计</w:t>
      </w:r>
      <w:r>
        <w:rPr>
          <w:rFonts w:hint="eastAsia" w:ascii="仿宋" w:hAnsi="仿宋" w:eastAsia="仿宋"/>
          <w:color w:val="000000"/>
          <w:sz w:val="32"/>
          <w:szCs w:val="24"/>
          <w:highlight w:val="none"/>
          <w:lang w:val="en-US" w:eastAsia="zh-CN"/>
        </w:rPr>
        <w:t>5856.72</w:t>
      </w:r>
      <w:r>
        <w:rPr>
          <w:rFonts w:hint="eastAsia" w:ascii="仿宋" w:hAnsi="仿宋" w:eastAsia="仿宋"/>
          <w:color w:val="000000"/>
          <w:sz w:val="32"/>
          <w:szCs w:val="24"/>
          <w:highlight w:val="none"/>
          <w:lang w:val="en-US"/>
        </w:rPr>
        <w:t>万元，与</w:t>
      </w:r>
      <w:r>
        <w:rPr>
          <w:rFonts w:hint="eastAsia" w:ascii="仿宋" w:hAnsi="仿宋" w:eastAsia="仿宋"/>
          <w:color w:val="000000"/>
          <w:sz w:val="32"/>
          <w:szCs w:val="24"/>
          <w:highlight w:val="none"/>
          <w:lang w:val="en-US" w:eastAsia="zh-CN"/>
        </w:rPr>
        <w:t>2022</w:t>
      </w:r>
      <w:r>
        <w:rPr>
          <w:rFonts w:hint="eastAsia" w:ascii="仿宋" w:hAnsi="仿宋" w:eastAsia="仿宋"/>
          <w:color w:val="000000"/>
          <w:sz w:val="32"/>
          <w:szCs w:val="24"/>
          <w:highlight w:val="none"/>
          <w:lang w:val="en-US"/>
        </w:rPr>
        <w:t>年相比，</w:t>
      </w:r>
      <w:r>
        <w:rPr>
          <w:rFonts w:hint="eastAsia" w:ascii="仿宋" w:hAnsi="仿宋" w:eastAsia="仿宋"/>
          <w:color w:val="000000"/>
          <w:sz w:val="32"/>
          <w:szCs w:val="24"/>
          <w:highlight w:val="none"/>
          <w:lang w:val="en-US" w:eastAsia="zh-CN"/>
        </w:rPr>
        <w:t>各</w:t>
      </w:r>
      <w:r>
        <w:rPr>
          <w:rFonts w:ascii="仿宋_GB2312" w:eastAsia="仿宋_GB2312" w:cs="仿宋_GB2312"/>
          <w:color w:val="auto"/>
          <w:sz w:val="32"/>
          <w:szCs w:val="32"/>
          <w:highlight w:val="none"/>
        </w:rPr>
        <w:t>减少49.28万元，下降0.83%</w:t>
      </w:r>
      <w:r>
        <w:rPr>
          <w:rFonts w:hint="eastAsia" w:ascii="仿宋" w:hAnsi="仿宋" w:eastAsia="仿宋"/>
          <w:color w:val="000000"/>
          <w:sz w:val="32"/>
          <w:szCs w:val="24"/>
          <w:highlight w:val="none"/>
          <w:lang w:val="en-US"/>
        </w:rPr>
        <w:t>。主要原因是</w:t>
      </w:r>
      <w:r>
        <w:rPr>
          <w:rFonts w:hint="eastAsia" w:ascii="仿宋" w:hAnsi="仿宋" w:eastAsia="仿宋" w:cs="仿宋"/>
          <w:kern w:val="0"/>
          <w:sz w:val="32"/>
          <w:szCs w:val="32"/>
          <w:lang w:val="en-US" w:eastAsia="zh-CN"/>
        </w:rPr>
        <w:t>人员变动。</w:t>
      </w:r>
      <w:r>
        <w:rPr>
          <w:rFonts w:hint="eastAsia" w:ascii="仿宋" w:hAnsi="仿宋" w:eastAsia="仿宋"/>
          <w:color w:val="000000"/>
          <w:sz w:val="32"/>
          <w:szCs w:val="24"/>
          <w:highlight w:val="none"/>
          <w:lang w:val="en-US"/>
        </w:rPr>
        <w:t>财政拨款支出年初预算数</w:t>
      </w:r>
      <w:r>
        <w:rPr>
          <w:rFonts w:hint="eastAsia" w:ascii="仿宋" w:hAnsi="仿宋" w:eastAsia="仿宋"/>
          <w:color w:val="000000"/>
          <w:sz w:val="32"/>
          <w:szCs w:val="24"/>
          <w:highlight w:val="none"/>
          <w:lang w:val="en-US" w:eastAsia="zh-CN"/>
        </w:rPr>
        <w:t>5822.98</w:t>
      </w:r>
      <w:r>
        <w:rPr>
          <w:rFonts w:hint="eastAsia" w:ascii="仿宋" w:hAnsi="仿宋" w:eastAsia="仿宋"/>
          <w:color w:val="000000"/>
          <w:sz w:val="32"/>
          <w:szCs w:val="24"/>
          <w:highlight w:val="none"/>
          <w:lang w:val="en-US"/>
        </w:rPr>
        <w:t>万元，完成年初预算的</w:t>
      </w:r>
      <w:r>
        <w:rPr>
          <w:rFonts w:hint="eastAsia" w:ascii="仿宋" w:hAnsi="仿宋" w:eastAsia="仿宋"/>
          <w:color w:val="000000"/>
          <w:sz w:val="32"/>
          <w:szCs w:val="24"/>
          <w:highlight w:val="none"/>
          <w:lang w:val="en-US" w:eastAsia="zh-CN"/>
        </w:rPr>
        <w:t>100.58</w:t>
      </w:r>
      <w:r>
        <w:rPr>
          <w:rFonts w:hint="eastAsia" w:ascii="仿宋" w:hAnsi="仿宋" w:eastAsia="仿宋"/>
          <w:color w:val="000000"/>
          <w:sz w:val="32"/>
          <w:szCs w:val="24"/>
          <w:highlight w:val="none"/>
          <w:lang w:val="en-US"/>
        </w:rPr>
        <w:t>%，主要原因</w:t>
      </w:r>
      <w:r>
        <w:rPr>
          <w:rFonts w:hint="eastAsia" w:ascii="仿宋" w:hAnsi="仿宋" w:eastAsia="仿宋"/>
          <w:color w:val="000000"/>
          <w:sz w:val="32"/>
          <w:szCs w:val="24"/>
          <w:highlight w:val="none"/>
          <w:lang w:val="en-US" w:eastAsia="zh-CN"/>
        </w:rPr>
        <w:t>是</w:t>
      </w:r>
      <w:r>
        <w:rPr>
          <w:rFonts w:hint="eastAsia" w:ascii="仿宋" w:hAnsi="仿宋" w:eastAsia="仿宋" w:cs="仿宋"/>
          <w:kern w:val="0"/>
          <w:sz w:val="32"/>
          <w:szCs w:val="32"/>
          <w:lang w:val="en-US" w:eastAsia="zh-CN"/>
        </w:rPr>
        <w:t>人员变动及社保基数调整。</w:t>
      </w:r>
    </w:p>
    <w:p>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40" w:name="_Toc_1_2_0000000052"/>
      <w:bookmarkStart w:id="41" w:name="_Toc10297"/>
      <w:r>
        <w:rPr>
          <w:rFonts w:hint="eastAsia" w:ascii="黑体" w:hAnsi="宋体" w:eastAsia="黑体" w:cs="黑体"/>
          <w:kern w:val="2"/>
          <w:sz w:val="32"/>
          <w:szCs w:val="32"/>
          <w:lang w:val="en-US" w:eastAsia="zh-CN"/>
        </w:rPr>
        <w:t>（五）一般公共预算财政拨款支出决算情况说明</w:t>
      </w:r>
      <w:bookmarkEnd w:id="40"/>
      <w:bookmarkEnd w:id="41"/>
    </w:p>
    <w:p>
      <w:pPr>
        <w:spacing w:beforeLines="0" w:afterLines="0" w:line="600" w:lineRule="exact"/>
        <w:ind w:firstLine="606"/>
        <w:outlineLvl w:val="9"/>
        <w:rPr>
          <w:rFonts w:hint="eastAsia" w:ascii="仿宋" w:hAnsi="仿宋" w:eastAsia="仿宋"/>
          <w:color w:val="000000"/>
          <w:sz w:val="32"/>
          <w:szCs w:val="24"/>
          <w:highlight w:val="none"/>
          <w:lang w:val="en-US"/>
        </w:rPr>
      </w:pPr>
      <w:bookmarkStart w:id="42" w:name="_Toc23578"/>
      <w:r>
        <w:rPr>
          <w:rFonts w:hint="eastAsia" w:ascii="仿宋" w:hAnsi="仿宋" w:eastAsia="仿宋" w:cs="仿宋"/>
          <w:kern w:val="2"/>
          <w:sz w:val="32"/>
          <w:szCs w:val="32"/>
          <w:highlight w:val="none"/>
          <w:lang w:val="en-US" w:eastAsia="zh-CN"/>
        </w:rPr>
        <w:t>1.一般公共预算财政拨款支出决算总体情况</w:t>
      </w:r>
      <w:bookmarkEnd w:id="42"/>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2023年度一般公共预算财政拨款支出5856.72万元，占本年支出合计的96.20%。与2022年相比，一般公共预算财政拨款支出</w:t>
      </w:r>
      <w:r>
        <w:rPr>
          <w:rFonts w:hint="eastAsia" w:ascii="仿宋" w:hAnsi="仿宋" w:eastAsia="仿宋" w:cs="仿宋"/>
          <w:color w:val="auto"/>
          <w:sz w:val="32"/>
          <w:szCs w:val="32"/>
          <w:highlight w:val="none"/>
        </w:rPr>
        <w:t>减少49.28万元，下降0.83%</w:t>
      </w:r>
      <w:r>
        <w:rPr>
          <w:rFonts w:hint="eastAsia" w:ascii="仿宋" w:hAnsi="仿宋" w:eastAsia="仿宋" w:cs="仿宋"/>
          <w:kern w:val="2"/>
          <w:sz w:val="32"/>
          <w:szCs w:val="32"/>
          <w:highlight w:val="none"/>
          <w:lang w:val="en-US" w:eastAsia="zh-CN"/>
        </w:rPr>
        <w:t>。主要原因是：人员变动及社保基数调整。</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43" w:name="_Toc22893"/>
      <w:r>
        <w:rPr>
          <w:rFonts w:hint="eastAsia" w:ascii="仿宋" w:hAnsi="仿宋" w:eastAsia="仿宋" w:cs="仿宋"/>
          <w:kern w:val="2"/>
          <w:sz w:val="32"/>
          <w:szCs w:val="32"/>
          <w:highlight w:val="none"/>
          <w:lang w:val="en-US" w:eastAsia="zh-CN"/>
        </w:rPr>
        <w:t>2.一般公共预算财政拨款支出决算结构情况</w:t>
      </w:r>
      <w:bookmarkEnd w:id="43"/>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_GB2312" w:hAnsi="Times New Roman" w:eastAsia="仿宋_GB2312" w:cs="仿宋_GB2312"/>
          <w:kern w:val="2"/>
          <w:sz w:val="32"/>
          <w:szCs w:val="32"/>
          <w:highlight w:val="none"/>
          <w:lang w:val="en-US" w:eastAsia="zh-CN"/>
        </w:rPr>
        <w:t>2023年度一般公共预算财政拨款支出5856.72万元，主要用于以下方面：</w:t>
      </w:r>
      <w:r>
        <w:rPr>
          <w:rFonts w:hint="eastAsia" w:ascii="仿宋" w:hAnsi="仿宋" w:eastAsia="仿宋" w:cs="仿宋"/>
          <w:kern w:val="2"/>
          <w:sz w:val="32"/>
          <w:szCs w:val="32"/>
          <w:highlight w:val="none"/>
          <w:lang w:val="en-US" w:eastAsia="zh-CN"/>
        </w:rPr>
        <w:t>一般公共服务支出（类）4668.66万元，占79.71%；社会保障和就业支出（类）606.17万元，占10.35%；卫生健康支出（类）94.32万元，占1.61%；住房保障支出（类）487.56万元，占8.33%。</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44" w:name="_Toc26641"/>
      <w:r>
        <w:rPr>
          <w:rFonts w:hint="eastAsia" w:ascii="仿宋" w:hAnsi="仿宋" w:eastAsia="仿宋" w:cs="仿宋"/>
          <w:kern w:val="2"/>
          <w:sz w:val="32"/>
          <w:szCs w:val="32"/>
          <w:highlight w:val="none"/>
          <w:lang w:val="en-US" w:eastAsia="zh-CN"/>
        </w:rPr>
        <w:t>3.一般公共预算财政拨款支出决算具体情况</w:t>
      </w:r>
      <w:bookmarkEnd w:id="44"/>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2023年度一般公共预算财政拨款支出年初预算为5822.98万元，支出决算为5856.72万元，完成年初预算的100.58%，主要原因是：人员变动及社保基数调整。</w:t>
      </w:r>
      <w:r>
        <w:rPr>
          <w:rFonts w:hint="eastAsia" w:ascii="仿宋" w:hAnsi="仿宋" w:eastAsia="仿宋" w:cs="仿宋"/>
          <w:sz w:val="32"/>
          <w:szCs w:val="40"/>
          <w:lang w:val="en-US" w:eastAsia="zh-CN"/>
        </w:rPr>
        <w:t>其中：</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一般公共服务支出（类）财政事务（款）行政运行（项）</w:t>
      </w:r>
      <w:r>
        <w:rPr>
          <w:rFonts w:hint="eastAsia" w:ascii="仿宋" w:hAnsi="仿宋" w:eastAsia="仿宋" w:cs="仿宋"/>
          <w:kern w:val="2"/>
          <w:sz w:val="32"/>
          <w:szCs w:val="32"/>
          <w:highlight w:val="none"/>
          <w:lang w:val="en-US" w:eastAsia="zh-CN"/>
        </w:rPr>
        <w:t>年初预算数为3993.61万元，支出决算数为4145.19万元，完成年初预算的103.80%，决算数大于预算数的主要原因是人员变动及社保基数调整。</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一般公共服务支出（类）财政事务（款）信息化建设（项）</w:t>
      </w:r>
      <w:r>
        <w:rPr>
          <w:rFonts w:hint="eastAsia" w:ascii="仿宋" w:hAnsi="仿宋" w:eastAsia="仿宋" w:cs="仿宋"/>
          <w:kern w:val="2"/>
          <w:sz w:val="32"/>
          <w:szCs w:val="32"/>
          <w:highlight w:val="none"/>
          <w:lang w:val="en-US" w:eastAsia="zh-CN"/>
        </w:rPr>
        <w:t>年初预算数为270.00万元，支出决算数为252.63万元，完成年初预算的93.57%，决算数小于预算数的主要原因是因上级安排，部分信息化项目未开展。</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一般公共服务支出（类）财政事务（款）财政委托业务支出（项）</w:t>
      </w:r>
      <w:r>
        <w:rPr>
          <w:rFonts w:hint="eastAsia" w:ascii="仿宋" w:hAnsi="仿宋" w:eastAsia="仿宋" w:cs="仿宋"/>
          <w:kern w:val="2"/>
          <w:sz w:val="32"/>
          <w:szCs w:val="32"/>
          <w:highlight w:val="none"/>
          <w:lang w:val="en-US" w:eastAsia="zh-CN"/>
        </w:rPr>
        <w:t>年初预算数为110.00万元，支出决算数为83.71万元，完成年初预算的76.10%，决算数小于预算数的主要原因是我局从严从紧控制财政委托业务支出规模。</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一般公共服务支出（类）财政事务（款）其他财政事务支出（项）</w:t>
      </w:r>
      <w:r>
        <w:rPr>
          <w:rFonts w:hint="eastAsia" w:ascii="仿宋" w:hAnsi="仿宋" w:eastAsia="仿宋" w:cs="仿宋"/>
          <w:kern w:val="2"/>
          <w:sz w:val="32"/>
          <w:szCs w:val="32"/>
          <w:highlight w:val="none"/>
          <w:lang w:val="en-US" w:eastAsia="zh-CN"/>
        </w:rPr>
        <w:t>年初预算数为250.00万元，支出决算数为187.14万元，完成年初预算的74.86%，决算数小于预算数的主要原因是我局从严从紧控制财政委托业务支出规模。</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社会保障和就业支出（类）行政事业单位养老支出（款）机关事业单位基本养老保险缴费支出（项）</w:t>
      </w:r>
      <w:r>
        <w:rPr>
          <w:rFonts w:hint="eastAsia" w:ascii="仿宋" w:hAnsi="仿宋" w:eastAsia="仿宋" w:cs="仿宋"/>
          <w:kern w:val="2"/>
          <w:sz w:val="32"/>
          <w:szCs w:val="32"/>
          <w:highlight w:val="none"/>
          <w:lang w:val="en-US" w:eastAsia="zh-CN"/>
        </w:rPr>
        <w:t>年初预算数为323.91万元，支出决算数为315.66万元，完成年初预算的97.45%，决算数小于预算数的主要原因是年内在职干部退休，导致养老保险费减少。</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社会保障和就业支出（类）行政事业单位养老支出（款）机关事业单位职业年金缴费支出（项）</w:t>
      </w:r>
      <w:r>
        <w:rPr>
          <w:rFonts w:hint="eastAsia" w:ascii="仿宋" w:hAnsi="仿宋" w:eastAsia="仿宋" w:cs="仿宋"/>
          <w:kern w:val="2"/>
          <w:sz w:val="32"/>
          <w:szCs w:val="32"/>
          <w:highlight w:val="none"/>
          <w:lang w:val="en-US" w:eastAsia="zh-CN"/>
        </w:rPr>
        <w:t>年初预算数为161.96万元，支出决算数为157.83万元，完成年初预算的97.45%，决算数小于预算数的主要原因是年内在职干部退休，导致养老保险费减少。</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社会保障和就业支出（类）行政事业单位养老支出（款）其他行政事业单位养老支出（项）</w:t>
      </w:r>
      <w:r>
        <w:rPr>
          <w:rFonts w:hint="eastAsia" w:ascii="仿宋" w:hAnsi="仿宋" w:eastAsia="仿宋" w:cs="仿宋"/>
          <w:kern w:val="2"/>
          <w:sz w:val="32"/>
          <w:szCs w:val="32"/>
          <w:highlight w:val="none"/>
          <w:lang w:val="en-US" w:eastAsia="zh-CN"/>
        </w:rPr>
        <w:t>年初预算数为141.77万元，支出决算数为132.68万元，完成年初预算的93.59%，决算数小于预算数的主要原因是年内在职干部退休，导致养老保险费减少。</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卫生健康支出（类）行政事业单位医疗（款）其他行政事业单位医疗支出（项）</w:t>
      </w:r>
      <w:r>
        <w:rPr>
          <w:rFonts w:hint="eastAsia" w:ascii="仿宋" w:hAnsi="仿宋" w:eastAsia="仿宋" w:cs="仿宋"/>
          <w:kern w:val="2"/>
          <w:sz w:val="32"/>
          <w:szCs w:val="32"/>
          <w:highlight w:val="none"/>
          <w:lang w:val="en-US" w:eastAsia="zh-CN"/>
        </w:rPr>
        <w:t>年初预算数为82.68万元，支出决算数为94.32万元，完成年初预算的114.08%，决算数大于预算数的主要原因公务员医疗补助基数参照医疗缴费基数计算。</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住房保障支出（类）住房改革支出（款）住房公积金（项）</w:t>
      </w:r>
      <w:r>
        <w:rPr>
          <w:rFonts w:hint="eastAsia" w:ascii="仿宋" w:hAnsi="仿宋" w:eastAsia="仿宋" w:cs="仿宋"/>
          <w:kern w:val="2"/>
          <w:sz w:val="32"/>
          <w:szCs w:val="32"/>
          <w:highlight w:val="none"/>
          <w:lang w:val="en-US" w:eastAsia="zh-CN"/>
        </w:rPr>
        <w:t>年初预算数为489.05万元，支出决算数为487.56万元，完成年初预算的99.70%，决算数小于预算数的主要原因是公积金基数调整。</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5" w:name="_Toc_1_2_0000000053"/>
      <w:r>
        <w:rPr>
          <w:rFonts w:hint="eastAsia" w:ascii="黑体" w:hAnsi="宋体" w:eastAsia="黑体" w:cs="黑体"/>
          <w:kern w:val="2"/>
          <w:sz w:val="32"/>
          <w:szCs w:val="32"/>
          <w:lang w:val="en-US" w:eastAsia="zh-CN"/>
        </w:rPr>
        <w:t>（六）一般公共预算财政拨款基本支出决算情况说明</w:t>
      </w:r>
      <w:bookmarkEnd w:id="45"/>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2023年度一般公共预算财政拨款基本支出5333.24万元，其中：</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人员经费4861.31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公用经费471.93万元，主要包括：办公费、印刷费、手续费、水费、电费、邮电费、差旅费、因公出国（境）费用、维修（护）费、租赁费、会议费、培训费、公务接待费、劳务费、委托业务费、工会经费、福利费、公务用车运行维护费、其他交通费用、税金及附加费用、其他商品和服务支出、办公设备购置、信息网络及软件购置更新、公务用车购置、无形资产购置、其他资本性支出。</w:t>
      </w:r>
    </w:p>
    <w:p>
      <w:pPr>
        <w:spacing w:beforeLines="0" w:afterLines="0" w:line="600" w:lineRule="exact"/>
        <w:ind w:firstLine="640" w:firstLineChars="200"/>
        <w:outlineLvl w:val="1"/>
        <w:rPr>
          <w:rFonts w:hint="eastAsia" w:ascii="仿宋" w:hAnsi="仿宋" w:eastAsia="仿宋"/>
          <w:b w:val="0"/>
          <w:bCs/>
          <w:color w:val="000000"/>
          <w:sz w:val="32"/>
          <w:szCs w:val="24"/>
          <w:highlight w:val="none"/>
          <w:lang w:val="en-US"/>
        </w:rPr>
      </w:pPr>
      <w:bookmarkStart w:id="46" w:name="_Toc_1_2_0000000054"/>
      <w:bookmarkStart w:id="47" w:name="_Toc25082"/>
      <w:r>
        <w:rPr>
          <w:rFonts w:hint="eastAsia" w:ascii="黑体" w:hAnsi="宋体" w:eastAsia="黑体" w:cs="黑体"/>
          <w:kern w:val="2"/>
          <w:sz w:val="32"/>
          <w:szCs w:val="32"/>
          <w:lang w:val="en-US" w:eastAsia="zh-CN"/>
        </w:rPr>
        <w:t>（七）政府性基金预算财政拨款支出决算总体情况说明</w:t>
      </w:r>
      <w:bookmarkEnd w:id="46"/>
      <w:bookmarkEnd w:id="47"/>
    </w:p>
    <w:p>
      <w:pPr>
        <w:spacing w:beforeLines="0" w:afterLines="0" w:line="600" w:lineRule="exact"/>
        <w:ind w:firstLine="640"/>
        <w:rPr>
          <w:rFonts w:hint="eastAsia" w:ascii="仿宋" w:hAnsi="仿宋" w:eastAsia="仿宋" w:cs="仿宋"/>
          <w:kern w:val="2"/>
          <w:sz w:val="32"/>
          <w:szCs w:val="32"/>
          <w:highlight w:val="none"/>
          <w:lang w:val="en-US" w:eastAsia="zh-CN"/>
        </w:rPr>
      </w:pPr>
      <w:bookmarkStart w:id="48" w:name="_Toc15115"/>
      <w:r>
        <w:rPr>
          <w:rFonts w:hint="eastAsia" w:ascii="仿宋_GB2312" w:hAnsi="Times New Roman" w:eastAsia="仿宋_GB2312" w:cs="仿宋_GB2312"/>
          <w:kern w:val="2"/>
          <w:sz w:val="32"/>
          <w:szCs w:val="32"/>
          <w:highlight w:val="none"/>
          <w:lang w:val="en-US" w:eastAsia="zh-CN"/>
        </w:rPr>
        <w:t xml:space="preserve"> </w:t>
      </w:r>
      <w:r>
        <w:rPr>
          <w:rFonts w:hint="eastAsia" w:ascii="仿宋" w:hAnsi="仿宋" w:eastAsia="仿宋" w:cs="仿宋"/>
          <w:kern w:val="2"/>
          <w:sz w:val="32"/>
          <w:szCs w:val="32"/>
          <w:highlight w:val="none"/>
          <w:lang w:val="en-US" w:eastAsia="zh-CN"/>
        </w:rPr>
        <w:t>本单位2023年度无政府性基金预算财政拨款收支安排，故无相关数据。</w:t>
      </w:r>
    </w:p>
    <w:p>
      <w:pPr>
        <w:spacing w:beforeLines="0" w:afterLines="0" w:line="600" w:lineRule="exact"/>
        <w:ind w:firstLine="594"/>
        <w:outlineLvl w:val="1"/>
        <w:rPr>
          <w:rFonts w:hint="eastAsia" w:ascii="仿宋" w:hAnsi="仿宋" w:eastAsia="仿宋"/>
          <w:b w:val="0"/>
          <w:bCs/>
          <w:color w:val="000000"/>
          <w:sz w:val="32"/>
          <w:szCs w:val="24"/>
          <w:highlight w:val="none"/>
          <w:lang w:val="en-US"/>
        </w:rPr>
      </w:pPr>
      <w:bookmarkStart w:id="49" w:name="_Toc_1_2_0000000055"/>
      <w:r>
        <w:rPr>
          <w:rFonts w:hint="eastAsia" w:ascii="黑体" w:hAnsi="宋体" w:eastAsia="黑体" w:cs="黑体"/>
          <w:kern w:val="2"/>
          <w:sz w:val="32"/>
          <w:szCs w:val="32"/>
          <w:lang w:val="en-US" w:eastAsia="zh-CN"/>
        </w:rPr>
        <w:t>（八）国有资本经营预算财政拨款支出决算总体情况说明</w:t>
      </w:r>
      <w:bookmarkEnd w:id="48"/>
      <w:bookmarkEnd w:id="49"/>
    </w:p>
    <w:p>
      <w:pPr>
        <w:spacing w:beforeLines="0" w:afterLines="0" w:line="600" w:lineRule="exact"/>
        <w:ind w:firstLine="640"/>
        <w:rPr>
          <w:rFonts w:hint="eastAsia" w:ascii="仿宋" w:hAnsi="仿宋" w:eastAsia="仿宋" w:cs="仿宋"/>
          <w:b w:val="0"/>
          <w:bCs/>
          <w:color w:val="000000"/>
          <w:sz w:val="32"/>
          <w:szCs w:val="24"/>
          <w:highlight w:val="none"/>
          <w:lang w:val="en-US"/>
        </w:rPr>
      </w:pPr>
      <w:r>
        <w:rPr>
          <w:rFonts w:hint="eastAsia" w:ascii="仿宋" w:hAnsi="仿宋" w:eastAsia="仿宋" w:cs="仿宋"/>
          <w:kern w:val="2"/>
          <w:sz w:val="32"/>
          <w:szCs w:val="32"/>
          <w:highlight w:val="none"/>
          <w:lang w:val="en-US" w:eastAsia="zh-CN"/>
        </w:rPr>
        <w:t>本单位2023年度无国有资本经营预算财政拨款收支安排，故无相关数据。</w:t>
      </w:r>
    </w:p>
    <w:p>
      <w:pPr>
        <w:spacing w:beforeLines="0" w:afterLines="0" w:line="600" w:lineRule="exact"/>
        <w:ind w:firstLine="641"/>
        <w:jc w:val="left"/>
        <w:outlineLvl w:val="1"/>
        <w:rPr>
          <w:rFonts w:hint="eastAsia" w:ascii="楷体" w:hAnsi="楷体" w:eastAsia="楷体"/>
          <w:b/>
          <w:color w:val="000000"/>
          <w:sz w:val="32"/>
          <w:szCs w:val="24"/>
          <w:highlight w:val="none"/>
          <w:lang w:val="en-US"/>
        </w:rPr>
      </w:pPr>
      <w:bookmarkStart w:id="50" w:name="_Toc16928"/>
      <w:bookmarkStart w:id="51" w:name="_Toc_1_2_0000000056"/>
      <w:r>
        <w:rPr>
          <w:rFonts w:hint="eastAsia" w:ascii="黑体" w:hAnsi="宋体" w:eastAsia="黑体" w:cs="黑体"/>
          <w:kern w:val="2"/>
          <w:sz w:val="32"/>
          <w:szCs w:val="32"/>
          <w:lang w:val="en-US" w:eastAsia="zh-CN"/>
        </w:rPr>
        <w:t>（九）财政拨款“三公”经费支出决算情况说明</w:t>
      </w:r>
      <w:bookmarkEnd w:id="50"/>
      <w:bookmarkEnd w:id="51"/>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52" w:name="_Toc15682"/>
      <w:r>
        <w:rPr>
          <w:rFonts w:hint="eastAsia" w:ascii="仿宋" w:hAnsi="仿宋" w:eastAsia="仿宋" w:cs="仿宋"/>
          <w:b/>
          <w:color w:val="000000"/>
          <w:sz w:val="32"/>
          <w:szCs w:val="24"/>
          <w:highlight w:val="none"/>
          <w:lang w:val="en-US"/>
        </w:rPr>
        <w:t>1.“三公”经费财政拨款支出决算总体情况说明</w:t>
      </w:r>
      <w:bookmarkEnd w:id="52"/>
    </w:p>
    <w:p>
      <w:pPr>
        <w:spacing w:beforeLines="0" w:afterLines="0" w:line="600" w:lineRule="exact"/>
        <w:ind w:firstLine="594"/>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年度“三公”经费财政拨款支出全年预算为</w:t>
      </w:r>
      <w:r>
        <w:rPr>
          <w:rFonts w:hint="eastAsia" w:ascii="仿宋" w:hAnsi="仿宋" w:eastAsia="仿宋" w:cs="仿宋"/>
          <w:color w:val="000000"/>
          <w:sz w:val="32"/>
          <w:szCs w:val="24"/>
          <w:highlight w:val="none"/>
          <w:lang w:val="en-US" w:eastAsia="zh-CN"/>
        </w:rPr>
        <w:t>17.43</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17.43</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年度“三公”经费支出决算数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我局严格按照年初预算计划列支费用。</w:t>
      </w:r>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53" w:name="_Toc29857"/>
      <w:r>
        <w:rPr>
          <w:rFonts w:hint="eastAsia" w:ascii="仿宋" w:hAnsi="仿宋" w:eastAsia="仿宋" w:cs="仿宋"/>
          <w:b/>
          <w:color w:val="000000"/>
          <w:sz w:val="32"/>
          <w:szCs w:val="24"/>
          <w:highlight w:val="none"/>
          <w:lang w:val="en-US"/>
        </w:rPr>
        <w:t>2.“三公”经费财政拨款支出决算具体情况说明</w:t>
      </w:r>
      <w:bookmarkEnd w:id="53"/>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年度“三公”经费财政拨款支出决算中，因公出国（境）费用支出决算为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highlight w:val="none"/>
          <w:lang w:val="en-US" w:eastAsia="zh-CN"/>
        </w:rPr>
        <w:t>本年度没有因公出国（境）事项</w:t>
      </w:r>
      <w:r>
        <w:rPr>
          <w:rFonts w:hint="eastAsia" w:ascii="仿宋" w:hAnsi="仿宋" w:eastAsia="仿宋" w:cs="仿宋"/>
          <w:color w:val="000000"/>
          <w:sz w:val="32"/>
          <w:szCs w:val="24"/>
          <w:highlight w:val="none"/>
          <w:lang w:val="en-US"/>
        </w:rPr>
        <w:t>；公务用车购置及运行维护费支出决算为</w:t>
      </w:r>
      <w:r>
        <w:rPr>
          <w:rFonts w:hint="eastAsia" w:ascii="仿宋" w:hAnsi="仿宋" w:eastAsia="仿宋" w:cs="仿宋"/>
          <w:color w:val="000000"/>
          <w:sz w:val="32"/>
          <w:szCs w:val="24"/>
          <w:highlight w:val="none"/>
          <w:lang w:val="en-US" w:eastAsia="zh-CN"/>
        </w:rPr>
        <w:t>9.71</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55.72</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减少0.04万元，下降0.44%</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我局严控公务用车费用管理</w:t>
      </w:r>
      <w:r>
        <w:rPr>
          <w:rFonts w:hint="eastAsia" w:ascii="仿宋" w:hAnsi="仿宋" w:eastAsia="仿宋" w:cs="仿宋"/>
          <w:color w:val="000000"/>
          <w:sz w:val="32"/>
          <w:szCs w:val="24"/>
          <w:highlight w:val="none"/>
          <w:lang w:val="en-US"/>
        </w:rPr>
        <w:t>；公务接待费支出决算为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44.28</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减少0.69万元，下降8.17%</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我局严控公务用车费用管理。</w:t>
      </w:r>
      <w:r>
        <w:rPr>
          <w:rFonts w:hint="eastAsia" w:ascii="仿宋" w:hAnsi="仿宋" w:eastAsia="仿宋" w:cs="仿宋"/>
          <w:color w:val="000000"/>
          <w:sz w:val="32"/>
          <w:szCs w:val="24"/>
          <w:highlight w:val="none"/>
          <w:lang w:val="en-US"/>
        </w:rPr>
        <w:t>具体情况如下：</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（1）因公出国（境）费用</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本年没有因公出国（境）事项</w:t>
      </w:r>
      <w:r>
        <w:rPr>
          <w:rFonts w:hint="eastAsia" w:ascii="仿宋" w:hAnsi="仿宋" w:eastAsia="仿宋" w:cs="仿宋"/>
          <w:color w:val="000000"/>
          <w:sz w:val="32"/>
          <w:szCs w:val="24"/>
          <w:highlight w:val="none"/>
          <w:lang w:val="en-US"/>
        </w:rPr>
        <w:t>。全年使用财政拨款支出涉及因公出国(境)团组</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个；累计</w:t>
      </w:r>
      <w:r>
        <w:rPr>
          <w:rFonts w:hint="eastAsia" w:ascii="仿宋" w:hAnsi="仿宋" w:eastAsia="仿宋" w:cs="仿宋"/>
          <w:color w:val="auto"/>
          <w:sz w:val="30"/>
          <w:szCs w:val="24"/>
          <w:highlight w:val="none"/>
          <w:lang w:val="zh-CN"/>
        </w:rPr>
        <w:t>0</w:t>
      </w:r>
      <w:r>
        <w:rPr>
          <w:rFonts w:hint="eastAsia" w:ascii="仿宋" w:hAnsi="仿宋" w:eastAsia="仿宋" w:cs="仿宋"/>
          <w:color w:val="000000"/>
          <w:sz w:val="32"/>
          <w:szCs w:val="24"/>
          <w:highlight w:val="none"/>
          <w:lang w:val="en-US"/>
        </w:rPr>
        <w:t>人次。</w:t>
      </w:r>
    </w:p>
    <w:p>
      <w:pPr>
        <w:keepNext w:val="0"/>
        <w:keepLines w:val="0"/>
        <w:widowControl w:val="0"/>
        <w:suppressLineNumbers w:val="0"/>
        <w:spacing w:before="0" w:beforeAutospacing="0" w:after="0" w:afterAutospacing="0"/>
        <w:ind w:left="0" w:right="0" w:firstLine="642" w:firstLineChars="200"/>
        <w:jc w:val="both"/>
        <w:rPr>
          <w:rFonts w:hint="eastAsia" w:ascii="仿宋" w:hAnsi="仿宋" w:eastAsia="仿宋" w:cs="仿宋"/>
          <w:kern w:val="0"/>
          <w:sz w:val="32"/>
          <w:szCs w:val="32"/>
          <w:lang w:val="en-US" w:eastAsia="zh-CN"/>
        </w:rPr>
      </w:pPr>
      <w:r>
        <w:rPr>
          <w:rFonts w:hint="eastAsia" w:ascii="仿宋" w:hAnsi="仿宋" w:eastAsia="仿宋" w:cs="仿宋"/>
          <w:b/>
          <w:color w:val="000000"/>
          <w:sz w:val="32"/>
          <w:szCs w:val="24"/>
          <w:highlight w:val="none"/>
          <w:lang w:val="en-US"/>
        </w:rPr>
        <w:t>（2）公务用车购置及运行维护费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9.71</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9.71</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我局严控公务用车费用管理。</w:t>
      </w:r>
    </w:p>
    <w:p>
      <w:pPr>
        <w:keepNext w:val="0"/>
        <w:keepLines w:val="0"/>
        <w:widowControl w:val="0"/>
        <w:suppressLineNumbers w:val="0"/>
        <w:spacing w:before="0" w:beforeAutospacing="0" w:after="0" w:afterAutospacing="0"/>
        <w:ind w:right="0" w:firstLine="642" w:firstLineChars="200"/>
        <w:jc w:val="both"/>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公务用车购置</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万元（含购置税等附加费用）。决算数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 xml:space="preserve">本年度没有公车用车购置计划 </w:t>
      </w:r>
      <w:r>
        <w:rPr>
          <w:rFonts w:hint="eastAsia" w:ascii="仿宋" w:hAnsi="仿宋" w:eastAsia="仿宋" w:cs="仿宋"/>
          <w:color w:val="000000"/>
          <w:sz w:val="32"/>
          <w:szCs w:val="24"/>
          <w:highlight w:val="none"/>
          <w:lang w:val="en-US"/>
        </w:rPr>
        <w:t>。主要用于经批准购置的</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辆公务用车；</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9.71</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9.71</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我局严控公务用车费用管理</w:t>
      </w:r>
      <w:r>
        <w:rPr>
          <w:rFonts w:hint="eastAsia" w:ascii="仿宋" w:hAnsi="仿宋" w:eastAsia="仿宋" w:cs="仿宋"/>
          <w:sz w:val="32"/>
          <w:szCs w:val="40"/>
          <w:lang w:val="en-US" w:eastAsia="zh-CN"/>
        </w:rPr>
        <w:t>，主要用于保障核定保留所需的公务用车燃料费、维修费、过路过桥费、保险费等支出。</w:t>
      </w: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年12月31日，财政拨款开支的公务用车保有量为</w:t>
      </w:r>
      <w:r>
        <w:rPr>
          <w:rFonts w:hint="eastAsia" w:ascii="仿宋" w:hAnsi="仿宋" w:eastAsia="仿宋" w:cs="仿宋"/>
          <w:color w:val="000000"/>
          <w:sz w:val="32"/>
          <w:szCs w:val="24"/>
          <w:highlight w:val="none"/>
          <w:lang w:val="en-US" w:eastAsia="zh-CN"/>
        </w:rPr>
        <w:t>6</w:t>
      </w:r>
      <w:r>
        <w:rPr>
          <w:rFonts w:hint="eastAsia" w:ascii="仿宋" w:hAnsi="仿宋" w:eastAsia="仿宋" w:cs="仿宋"/>
          <w:color w:val="000000"/>
          <w:sz w:val="32"/>
          <w:szCs w:val="24"/>
          <w:highlight w:val="none"/>
          <w:lang w:val="en-US"/>
        </w:rPr>
        <w:t>辆。</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）公务接待费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。国内公务接待</w:t>
      </w:r>
      <w:r>
        <w:rPr>
          <w:rFonts w:hint="eastAsia" w:ascii="仿宋" w:hAnsi="仿宋" w:eastAsia="仿宋" w:cs="仿宋"/>
          <w:color w:val="000000"/>
          <w:sz w:val="32"/>
          <w:szCs w:val="24"/>
          <w:highlight w:val="none"/>
          <w:lang w:val="en-US" w:eastAsia="zh-CN"/>
        </w:rPr>
        <w:t>89</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668</w:t>
      </w:r>
      <w:r>
        <w:rPr>
          <w:rFonts w:hint="eastAsia" w:ascii="仿宋" w:hAnsi="仿宋" w:eastAsia="仿宋" w:cs="仿宋"/>
          <w:color w:val="000000"/>
          <w:sz w:val="32"/>
          <w:szCs w:val="24"/>
          <w:highlight w:val="none"/>
          <w:lang w:val="en-US"/>
        </w:rPr>
        <w:t>人次。</w:t>
      </w:r>
      <w:r>
        <w:rPr>
          <w:rFonts w:hint="eastAsia" w:ascii="仿宋" w:hAnsi="仿宋" w:eastAsia="仿宋" w:cs="仿宋"/>
          <w:sz w:val="32"/>
          <w:szCs w:val="40"/>
          <w:lang w:val="en-US" w:eastAsia="zh-CN"/>
        </w:rPr>
        <w:t>主要用于接待接待上级部门、兄弟市（县、区）相关业务部门来衢进行工作交流、政策调研及市场主体来衢考察、洽谈项目合作等公务活动接待等支出。</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我局严格执行有关规定，厉行节约，从严控制公务接待经费支出。</w:t>
      </w:r>
      <w:r>
        <w:rPr>
          <w:rFonts w:hint="eastAsia" w:ascii="仿宋" w:hAnsi="仿宋" w:eastAsia="仿宋" w:cs="仿宋"/>
          <w:color w:val="000000"/>
          <w:sz w:val="32"/>
          <w:szCs w:val="24"/>
          <w:highlight w:val="none"/>
          <w:lang w:val="en-US"/>
        </w:rPr>
        <w:t>其中：</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外事接待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万元，接待</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人次。</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其他国内公务接待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w:t>
      </w:r>
      <w:bookmarkStart w:id="66" w:name="_GoBack"/>
      <w:r>
        <w:rPr>
          <w:rFonts w:hint="eastAsia" w:ascii="仿宋" w:hAnsi="仿宋" w:eastAsia="仿宋" w:cs="仿宋"/>
          <w:sz w:val="32"/>
          <w:szCs w:val="40"/>
          <w:lang w:val="en-US" w:eastAsia="zh-CN"/>
        </w:rPr>
        <w:t>主要用于</w:t>
      </w:r>
      <w:bookmarkEnd w:id="66"/>
      <w:r>
        <w:rPr>
          <w:rFonts w:hint="eastAsia" w:ascii="仿宋" w:hAnsi="仿宋" w:eastAsia="仿宋" w:cs="仿宋"/>
          <w:sz w:val="32"/>
          <w:szCs w:val="40"/>
          <w:lang w:val="en-US" w:eastAsia="zh-CN"/>
        </w:rPr>
        <w:t>上级部门、兄弟市（县、区）相关业务部门来衢进行工作交流、政策调研及市场主体来衢考察、洽谈项目合作等公务活动接待支出。</w:t>
      </w:r>
      <w:r>
        <w:rPr>
          <w:rFonts w:hint="eastAsia" w:ascii="仿宋" w:hAnsi="仿宋" w:eastAsia="仿宋" w:cs="仿宋"/>
          <w:color w:val="000000"/>
          <w:sz w:val="32"/>
          <w:szCs w:val="24"/>
          <w:highlight w:val="none"/>
          <w:lang w:val="en-US"/>
        </w:rPr>
        <w:t>接待</w:t>
      </w:r>
      <w:r>
        <w:rPr>
          <w:rFonts w:hint="eastAsia" w:ascii="仿宋" w:hAnsi="仿宋" w:eastAsia="仿宋" w:cs="仿宋"/>
          <w:color w:val="000000"/>
          <w:sz w:val="32"/>
          <w:szCs w:val="24"/>
          <w:highlight w:val="none"/>
          <w:lang w:val="en-US" w:eastAsia="zh-CN"/>
        </w:rPr>
        <w:t>89</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668</w:t>
      </w:r>
      <w:r>
        <w:rPr>
          <w:rFonts w:hint="eastAsia" w:ascii="仿宋" w:hAnsi="仿宋" w:eastAsia="仿宋" w:cs="仿宋"/>
          <w:color w:val="000000"/>
          <w:sz w:val="32"/>
          <w:szCs w:val="24"/>
          <w:highlight w:val="none"/>
          <w:lang w:val="en-US"/>
        </w:rPr>
        <w:t>人次。</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4" w:name="_Toc_1_2_0000000057"/>
      <w:bookmarkStart w:id="55" w:name="_Toc952"/>
      <w:r>
        <w:rPr>
          <w:rFonts w:hint="eastAsia" w:ascii="黑体" w:hAnsi="宋体" w:eastAsia="黑体" w:cs="黑体"/>
          <w:kern w:val="2"/>
          <w:sz w:val="32"/>
          <w:szCs w:val="32"/>
          <w:lang w:val="en-US" w:eastAsia="zh-CN"/>
        </w:rPr>
        <w:t>（十）机关运行经费支出说明</w:t>
      </w:r>
      <w:bookmarkEnd w:id="54"/>
      <w:bookmarkEnd w:id="55"/>
    </w:p>
    <w:p>
      <w:pPr>
        <w:ind w:firstLine="640" w:firstLineChars="200"/>
        <w:rPr>
          <w:rFonts w:hint="eastAsia" w:ascii="仿宋" w:hAnsi="仿宋" w:eastAsia="仿宋" w:cs="仿宋"/>
          <w:kern w:val="2"/>
          <w:sz w:val="32"/>
          <w:szCs w:val="32"/>
          <w:lang w:val="en-US" w:eastAsia="zh-CN"/>
        </w:rPr>
      </w:pPr>
      <w:bookmarkStart w:id="56" w:name="_Toc20820"/>
      <w:r>
        <w:rPr>
          <w:rFonts w:hint="eastAsia" w:ascii="仿宋" w:hAnsi="仿宋" w:eastAsia="仿宋" w:cs="仿宋"/>
          <w:sz w:val="32"/>
          <w:szCs w:val="40"/>
          <w:lang w:val="en-US" w:eastAsia="zh-CN"/>
        </w:rPr>
        <w:t>2023年度机关运行经费年初预算数为390.17万元，支出决算为471.93万元，完成年初预算的120.95%，决算数大于预算数的主要原因统计口径调整；比2022年度增长31.91万元，增长7.25%，主要原因是统计口径调整。 </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7" w:name="_Toc_1_2_0000000058"/>
      <w:r>
        <w:rPr>
          <w:rFonts w:hint="eastAsia" w:ascii="黑体" w:hAnsi="宋体" w:eastAsia="黑体" w:cs="黑体"/>
          <w:kern w:val="2"/>
          <w:sz w:val="32"/>
          <w:szCs w:val="32"/>
          <w:lang w:val="en-US" w:eastAsia="zh-CN"/>
        </w:rPr>
        <w:t>（十一）政府采购支出说明</w:t>
      </w:r>
      <w:bookmarkEnd w:id="56"/>
      <w:bookmarkEnd w:id="57"/>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年度政府采购支出总额</w:t>
      </w:r>
      <w:r>
        <w:rPr>
          <w:rFonts w:hint="eastAsia" w:ascii="仿宋" w:hAnsi="仿宋" w:eastAsia="仿宋" w:cs="仿宋"/>
          <w:color w:val="000000"/>
          <w:sz w:val="32"/>
          <w:szCs w:val="24"/>
          <w:highlight w:val="none"/>
          <w:lang w:val="en-US" w:eastAsia="zh-CN"/>
        </w:rPr>
        <w:t>389.45</w:t>
      </w:r>
      <w:r>
        <w:rPr>
          <w:rFonts w:hint="eastAsia" w:ascii="仿宋" w:hAnsi="仿宋" w:eastAsia="仿宋" w:cs="仿宋"/>
          <w:color w:val="000000"/>
          <w:sz w:val="32"/>
          <w:szCs w:val="24"/>
          <w:highlight w:val="none"/>
          <w:lang w:val="en-US"/>
        </w:rPr>
        <w:t>万元，其中：政府采购货物支出</w:t>
      </w:r>
      <w:r>
        <w:rPr>
          <w:rFonts w:hint="eastAsia" w:ascii="仿宋" w:hAnsi="仿宋" w:eastAsia="仿宋" w:cs="仿宋"/>
          <w:color w:val="000000"/>
          <w:sz w:val="32"/>
          <w:szCs w:val="24"/>
          <w:highlight w:val="none"/>
          <w:lang w:val="en-US" w:eastAsia="zh-CN"/>
        </w:rPr>
        <w:t>57.35</w:t>
      </w:r>
      <w:r>
        <w:rPr>
          <w:rFonts w:hint="eastAsia" w:ascii="仿宋" w:hAnsi="仿宋" w:eastAsia="仿宋" w:cs="仿宋"/>
          <w:color w:val="000000"/>
          <w:sz w:val="32"/>
          <w:szCs w:val="24"/>
          <w:highlight w:val="none"/>
          <w:lang w:val="en-US"/>
        </w:rPr>
        <w:t>万元、政府采购工程支出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万元、政府采购服务支出</w:t>
      </w:r>
      <w:r>
        <w:rPr>
          <w:rFonts w:hint="eastAsia" w:ascii="仿宋" w:hAnsi="仿宋" w:eastAsia="仿宋" w:cs="仿宋"/>
          <w:color w:val="000000"/>
          <w:sz w:val="32"/>
          <w:szCs w:val="24"/>
          <w:highlight w:val="none"/>
          <w:lang w:val="en-US" w:eastAsia="zh-CN"/>
        </w:rPr>
        <w:t>332.10</w:t>
      </w:r>
      <w:r>
        <w:rPr>
          <w:rFonts w:hint="eastAsia" w:ascii="仿宋" w:hAnsi="仿宋" w:eastAsia="仿宋" w:cs="仿宋"/>
          <w:color w:val="000000"/>
          <w:sz w:val="32"/>
          <w:szCs w:val="24"/>
          <w:highlight w:val="none"/>
          <w:lang w:val="en-US"/>
        </w:rPr>
        <w:t>万元。授予中小企业合同金额</w:t>
      </w:r>
      <w:r>
        <w:rPr>
          <w:rFonts w:hint="eastAsia" w:ascii="仿宋" w:hAnsi="仿宋" w:eastAsia="仿宋" w:cs="仿宋"/>
          <w:color w:val="000000"/>
          <w:sz w:val="32"/>
          <w:szCs w:val="24"/>
          <w:highlight w:val="none"/>
          <w:lang w:val="en-US" w:eastAsia="zh-CN"/>
        </w:rPr>
        <w:t>315.50</w:t>
      </w:r>
      <w:r>
        <w:rPr>
          <w:rFonts w:hint="eastAsia" w:ascii="仿宋" w:hAnsi="仿宋" w:eastAsia="仿宋" w:cs="仿宋"/>
          <w:color w:val="000000"/>
          <w:sz w:val="32"/>
          <w:szCs w:val="24"/>
          <w:highlight w:val="none"/>
          <w:lang w:val="en-US"/>
        </w:rPr>
        <w:t>万元，占政府采购支出总额的</w:t>
      </w:r>
      <w:r>
        <w:rPr>
          <w:rFonts w:hint="eastAsia" w:ascii="仿宋" w:hAnsi="仿宋" w:eastAsia="仿宋" w:cs="仿宋"/>
          <w:color w:val="000000"/>
          <w:sz w:val="32"/>
          <w:szCs w:val="24"/>
          <w:highlight w:val="none"/>
          <w:lang w:val="en-US" w:eastAsia="zh-CN"/>
        </w:rPr>
        <w:t>81.01</w:t>
      </w:r>
      <w:r>
        <w:rPr>
          <w:rFonts w:hint="eastAsia" w:ascii="仿宋" w:hAnsi="仿宋" w:eastAsia="仿宋" w:cs="仿宋"/>
          <w:color w:val="000000"/>
          <w:sz w:val="32"/>
          <w:szCs w:val="24"/>
          <w:highlight w:val="none"/>
          <w:lang w:val="en-US"/>
        </w:rPr>
        <w:t>%。其中，授予小微企业合同金额</w:t>
      </w:r>
      <w:r>
        <w:rPr>
          <w:rFonts w:hint="eastAsia" w:ascii="仿宋" w:hAnsi="仿宋" w:eastAsia="仿宋" w:cs="仿宋"/>
          <w:color w:val="000000"/>
          <w:sz w:val="32"/>
          <w:szCs w:val="24"/>
          <w:highlight w:val="none"/>
          <w:lang w:val="en-US" w:eastAsia="zh-CN"/>
        </w:rPr>
        <w:t>15.50</w:t>
      </w:r>
      <w:r>
        <w:rPr>
          <w:rFonts w:hint="eastAsia" w:ascii="仿宋" w:hAnsi="仿宋" w:eastAsia="仿宋" w:cs="仿宋"/>
          <w:color w:val="000000"/>
          <w:sz w:val="32"/>
          <w:szCs w:val="24"/>
          <w:highlight w:val="none"/>
          <w:lang w:val="en-US"/>
        </w:rPr>
        <w:t>万元，占授予中小企业合同金额的</w:t>
      </w:r>
      <w:r>
        <w:rPr>
          <w:rFonts w:hint="eastAsia" w:ascii="仿宋" w:hAnsi="仿宋" w:eastAsia="仿宋" w:cs="仿宋"/>
          <w:color w:val="000000"/>
          <w:sz w:val="32"/>
          <w:szCs w:val="24"/>
          <w:highlight w:val="none"/>
          <w:lang w:val="en-US" w:eastAsia="zh-CN"/>
        </w:rPr>
        <w:t>4.91</w:t>
      </w:r>
      <w:r>
        <w:rPr>
          <w:rFonts w:hint="eastAsia" w:ascii="仿宋" w:hAnsi="仿宋" w:eastAsia="仿宋" w:cs="仿宋"/>
          <w:color w:val="000000"/>
          <w:sz w:val="32"/>
          <w:szCs w:val="24"/>
          <w:highlight w:val="none"/>
          <w:lang w:val="en-US"/>
        </w:rPr>
        <w:t>%；货物采购授予中小企业合同金额占货物支出金额的</w:t>
      </w:r>
      <w:r>
        <w:rPr>
          <w:rFonts w:hint="eastAsia" w:ascii="仿宋" w:hAnsi="仿宋" w:eastAsia="仿宋" w:cs="仿宋"/>
          <w:kern w:val="0"/>
          <w:sz w:val="32"/>
          <w:szCs w:val="32"/>
          <w:lang w:val="en-US" w:eastAsia="zh-CN"/>
        </w:rPr>
        <w:t>100</w:t>
      </w:r>
      <w:r>
        <w:rPr>
          <w:rFonts w:hint="eastAsia" w:ascii="仿宋" w:hAnsi="仿宋" w:eastAsia="仿宋" w:cs="仿宋"/>
          <w:color w:val="000000"/>
          <w:sz w:val="32"/>
          <w:szCs w:val="24"/>
          <w:highlight w:val="none"/>
          <w:lang w:val="en-US"/>
        </w:rPr>
        <w:t>%，工程采购授予中小企业合同金额占工程支出金额的</w:t>
      </w:r>
      <w:r>
        <w:rPr>
          <w:rFonts w:hint="eastAsia" w:ascii="仿宋" w:hAnsi="仿宋" w:eastAsia="仿宋" w:cs="仿宋"/>
          <w:kern w:val="0"/>
          <w:sz w:val="32"/>
          <w:szCs w:val="32"/>
          <w:lang w:val="en-US" w:eastAsia="zh-CN"/>
        </w:rPr>
        <w:t>100</w:t>
      </w:r>
      <w:r>
        <w:rPr>
          <w:rFonts w:hint="eastAsia" w:ascii="仿宋" w:hAnsi="仿宋" w:eastAsia="仿宋" w:cs="仿宋"/>
          <w:color w:val="000000"/>
          <w:sz w:val="32"/>
          <w:szCs w:val="24"/>
          <w:highlight w:val="none"/>
          <w:lang w:val="en-US"/>
        </w:rPr>
        <w:t>%，服务采购授予中小企业合同金额占服务支出金额的</w:t>
      </w:r>
      <w:r>
        <w:rPr>
          <w:rFonts w:hint="eastAsia" w:ascii="仿宋" w:hAnsi="仿宋" w:eastAsia="仿宋" w:cs="仿宋"/>
          <w:kern w:val="0"/>
          <w:sz w:val="32"/>
          <w:szCs w:val="32"/>
          <w:lang w:val="en-US" w:eastAsia="zh-CN"/>
        </w:rPr>
        <w:t>100</w:t>
      </w:r>
      <w:r>
        <w:rPr>
          <w:rFonts w:hint="eastAsia" w:ascii="仿宋" w:hAnsi="仿宋" w:eastAsia="仿宋" w:cs="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8" w:name="_Toc_1_2_0000000059"/>
      <w:bookmarkStart w:id="59" w:name="_Toc11393"/>
      <w:r>
        <w:rPr>
          <w:rFonts w:hint="eastAsia" w:ascii="黑体" w:hAnsi="宋体" w:eastAsia="黑体" w:cs="黑体"/>
          <w:kern w:val="2"/>
          <w:sz w:val="32"/>
          <w:szCs w:val="32"/>
          <w:lang w:val="en-US" w:eastAsia="zh-CN"/>
        </w:rPr>
        <w:t>（十二）国有资产占有使用情况说明</w:t>
      </w:r>
      <w:bookmarkEnd w:id="58"/>
      <w:bookmarkEnd w:id="59"/>
    </w:p>
    <w:p>
      <w:pPr>
        <w:spacing w:beforeLines="0" w:afterLines="0" w:line="600" w:lineRule="exact"/>
        <w:ind w:firstLine="594"/>
        <w:rPr>
          <w:rFonts w:hint="eastAsia" w:ascii="楷体" w:hAnsi="楷体" w:eastAsia="楷体"/>
          <w:b/>
          <w:color w:val="000000"/>
          <w:sz w:val="32"/>
          <w:szCs w:val="24"/>
          <w:highlight w:val="none"/>
          <w:lang w:val="en-US"/>
        </w:rPr>
      </w:pP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w:t>
      </w:r>
      <w:r>
        <w:rPr>
          <w:rFonts w:hint="eastAsia" w:ascii="仿宋" w:hAnsi="仿宋" w:eastAsia="仿宋" w:cs="仿宋"/>
          <w:kern w:val="2"/>
          <w:sz w:val="32"/>
          <w:szCs w:val="32"/>
          <w:highlight w:val="none"/>
          <w:lang w:val="en-US" w:eastAsia="zh-CN"/>
        </w:rPr>
        <w:t>衢州市财政局本级及所属单位</w:t>
      </w:r>
      <w:r>
        <w:rPr>
          <w:rFonts w:hint="eastAsia" w:ascii="仿宋" w:hAnsi="仿宋" w:eastAsia="仿宋" w:cs="仿宋"/>
          <w:color w:val="000000"/>
          <w:sz w:val="32"/>
          <w:szCs w:val="24"/>
          <w:highlight w:val="none"/>
          <w:lang w:val="en-US"/>
        </w:rPr>
        <w:t>共有车辆</w:t>
      </w:r>
      <w:r>
        <w:rPr>
          <w:rFonts w:hint="eastAsia" w:ascii="仿宋" w:hAnsi="仿宋" w:eastAsia="仿宋" w:cs="仿宋"/>
          <w:color w:val="000000"/>
          <w:sz w:val="32"/>
          <w:szCs w:val="24"/>
          <w:highlight w:val="none"/>
          <w:lang w:val="en-US" w:eastAsia="zh-CN"/>
        </w:rPr>
        <w:t>6</w:t>
      </w:r>
      <w:r>
        <w:rPr>
          <w:rFonts w:hint="eastAsia" w:ascii="仿宋" w:hAnsi="仿宋" w:eastAsia="仿宋" w:cs="仿宋"/>
          <w:color w:val="000000"/>
          <w:sz w:val="32"/>
          <w:szCs w:val="24"/>
          <w:highlight w:val="none"/>
          <w:lang w:val="en-US"/>
        </w:rPr>
        <w:t>辆，其中，副部（省）级及以上领导用车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辆、主要</w:t>
      </w:r>
      <w:r>
        <w:rPr>
          <w:rFonts w:hint="eastAsia" w:ascii="仿宋" w:hAnsi="仿宋" w:eastAsia="仿宋" w:cs="仿宋"/>
          <w:color w:val="000000"/>
          <w:sz w:val="32"/>
          <w:szCs w:val="24"/>
          <w:highlight w:val="none"/>
          <w:lang w:val="en-US" w:eastAsia="zh-CN"/>
        </w:rPr>
        <w:t>领导干部</w:t>
      </w:r>
      <w:r>
        <w:rPr>
          <w:rFonts w:hint="eastAsia" w:ascii="仿宋" w:hAnsi="仿宋" w:eastAsia="仿宋" w:cs="仿宋"/>
          <w:color w:val="000000"/>
          <w:sz w:val="32"/>
          <w:szCs w:val="24"/>
          <w:highlight w:val="none"/>
          <w:lang w:val="en-US"/>
        </w:rPr>
        <w:t>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辆、机要通信用车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辆、应急保障用车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辆、执法执勤用车</w:t>
      </w:r>
      <w:r>
        <w:rPr>
          <w:rFonts w:hint="eastAsia" w:ascii="仿宋" w:hAnsi="仿宋" w:eastAsia="仿宋" w:cs="仿宋"/>
          <w:color w:val="000000"/>
          <w:sz w:val="32"/>
          <w:szCs w:val="24"/>
          <w:highlight w:val="none"/>
          <w:lang w:val="en-US" w:eastAsia="zh-CN"/>
        </w:rPr>
        <w:t>2</w:t>
      </w:r>
      <w:r>
        <w:rPr>
          <w:rFonts w:hint="eastAsia" w:ascii="仿宋" w:hAnsi="仿宋" w:eastAsia="仿宋" w:cs="仿宋"/>
          <w:color w:val="000000"/>
          <w:sz w:val="32"/>
          <w:szCs w:val="24"/>
          <w:highlight w:val="none"/>
          <w:lang w:val="en-US"/>
        </w:rPr>
        <w:t>辆、特种专业技术用车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辆、离退休干部用车</w:t>
      </w:r>
      <w:r>
        <w:rPr>
          <w:rFonts w:hint="eastAsia" w:ascii="仿宋" w:hAnsi="仿宋" w:eastAsia="仿宋" w:cs="仿宋"/>
          <w:color w:val="000000"/>
          <w:sz w:val="32"/>
          <w:szCs w:val="24"/>
          <w:highlight w:val="none"/>
          <w:lang w:val="en-US" w:eastAsia="zh-CN"/>
        </w:rPr>
        <w:t>1</w:t>
      </w:r>
      <w:r>
        <w:rPr>
          <w:rFonts w:hint="eastAsia" w:ascii="仿宋" w:hAnsi="仿宋" w:eastAsia="仿宋" w:cs="仿宋"/>
          <w:color w:val="000000"/>
          <w:sz w:val="32"/>
          <w:szCs w:val="24"/>
          <w:highlight w:val="none"/>
          <w:lang w:val="en-US"/>
        </w:rPr>
        <w:t>辆、其他用车</w:t>
      </w:r>
      <w:r>
        <w:rPr>
          <w:rFonts w:hint="eastAsia" w:ascii="仿宋" w:hAnsi="仿宋" w:eastAsia="仿宋" w:cs="仿宋"/>
          <w:color w:val="000000"/>
          <w:sz w:val="32"/>
          <w:szCs w:val="24"/>
          <w:highlight w:val="none"/>
          <w:lang w:val="en-US" w:eastAsia="zh-CN"/>
        </w:rPr>
        <w:t>3</w:t>
      </w:r>
      <w:r>
        <w:rPr>
          <w:rFonts w:hint="eastAsia" w:ascii="仿宋" w:hAnsi="仿宋" w:eastAsia="仿宋" w:cs="仿宋"/>
          <w:color w:val="000000"/>
          <w:sz w:val="32"/>
          <w:szCs w:val="24"/>
          <w:highlight w:val="none"/>
          <w:lang w:val="en-US"/>
        </w:rPr>
        <w:t>辆</w:t>
      </w:r>
      <w:r>
        <w:rPr>
          <w:rFonts w:hint="eastAsia" w:ascii="仿宋" w:hAnsi="仿宋" w:eastAsia="仿宋" w:cs="仿宋"/>
          <w:sz w:val="32"/>
          <w:szCs w:val="40"/>
          <w:lang w:val="en-US" w:eastAsia="zh-CN"/>
        </w:rPr>
        <w:t>,其他用车主要是所属事业单位的公务用车</w:t>
      </w:r>
      <w:r>
        <w:rPr>
          <w:rFonts w:hint="eastAsia" w:ascii="仿宋" w:hAnsi="仿宋" w:eastAsia="仿宋" w:cs="仿宋"/>
          <w:color w:val="000000"/>
          <w:sz w:val="32"/>
          <w:szCs w:val="24"/>
          <w:highlight w:val="none"/>
          <w:lang w:val="en-US"/>
        </w:rPr>
        <w:t>；单价100万元以上设备（不含车辆）</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台（套）。</w:t>
      </w:r>
      <w:r>
        <w:rPr>
          <w:rFonts w:hint="eastAsia" w:ascii="仿宋" w:hAnsi="仿宋" w:eastAsia="仿宋"/>
          <w:color w:val="000000"/>
          <w:sz w:val="32"/>
          <w:szCs w:val="24"/>
          <w:highlight w:val="none"/>
          <w:lang w:val="en-US"/>
        </w:rPr>
        <w:t xml:space="preserve"> </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60" w:name="_Toc_1_2_0000000060"/>
      <w:bookmarkStart w:id="61" w:name="_Toc7528"/>
      <w:r>
        <w:rPr>
          <w:rFonts w:hint="eastAsia" w:ascii="黑体" w:hAnsi="宋体" w:eastAsia="黑体" w:cs="黑体"/>
          <w:kern w:val="2"/>
          <w:sz w:val="32"/>
          <w:szCs w:val="32"/>
          <w:lang w:val="en-US" w:eastAsia="zh-CN"/>
        </w:rPr>
        <w:t>（十三）预算绩效情况说明</w:t>
      </w:r>
      <w:bookmarkEnd w:id="60"/>
      <w:bookmarkEnd w:id="61"/>
    </w:p>
    <w:p>
      <w:pPr>
        <w:spacing w:beforeLines="0" w:afterLines="0" w:line="600" w:lineRule="exact"/>
        <w:ind w:firstLine="594"/>
        <w:outlineLvl w:val="9"/>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1.预算绩效管理工作开展情况</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rPr>
        <w:t>根据预算绩效管理要求，</w:t>
      </w:r>
      <w:r>
        <w:rPr>
          <w:rFonts w:hint="eastAsia" w:ascii="仿宋" w:hAnsi="仿宋" w:eastAsia="仿宋" w:cs="仿宋"/>
          <w:kern w:val="2"/>
          <w:sz w:val="32"/>
          <w:szCs w:val="32"/>
          <w:highlight w:val="none"/>
          <w:lang w:val="en-US" w:eastAsia="zh-CN"/>
        </w:rPr>
        <w:t>衢州市财政局</w:t>
      </w:r>
      <w:r>
        <w:rPr>
          <w:rFonts w:hint="eastAsia" w:ascii="仿宋" w:hAnsi="仿宋" w:eastAsia="仿宋" w:cs="仿宋"/>
          <w:color w:val="000000"/>
          <w:sz w:val="32"/>
          <w:szCs w:val="24"/>
          <w:highlight w:val="none"/>
          <w:lang w:val="en-US"/>
        </w:rPr>
        <w:t>组织对</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年度一般公共预算项目支出全面开展绩效自评，其中，一级项目</w:t>
      </w:r>
      <w:r>
        <w:rPr>
          <w:rFonts w:hint="eastAsia" w:ascii="仿宋" w:hAnsi="仿宋" w:eastAsia="仿宋" w:cs="仿宋"/>
          <w:kern w:val="2"/>
          <w:sz w:val="32"/>
          <w:szCs w:val="32"/>
          <w:highlight w:val="none"/>
          <w:lang w:val="en-US" w:eastAsia="zh-CN"/>
        </w:rPr>
        <w:t>5</w:t>
      </w:r>
      <w:r>
        <w:rPr>
          <w:rFonts w:hint="eastAsia" w:ascii="仿宋" w:hAnsi="仿宋" w:eastAsia="仿宋" w:cs="仿宋"/>
          <w:color w:val="000000"/>
          <w:sz w:val="32"/>
          <w:szCs w:val="24"/>
          <w:highlight w:val="none"/>
          <w:lang w:val="en-US"/>
        </w:rPr>
        <w:t>个，二级项目</w:t>
      </w:r>
      <w:r>
        <w:rPr>
          <w:rFonts w:hint="eastAsia" w:ascii="仿宋" w:hAnsi="仿宋" w:eastAsia="仿宋" w:cs="仿宋"/>
          <w:kern w:val="2"/>
          <w:sz w:val="32"/>
          <w:szCs w:val="32"/>
          <w:highlight w:val="none"/>
          <w:lang w:val="en-US" w:eastAsia="zh-CN"/>
        </w:rPr>
        <w:t>8</w:t>
      </w:r>
      <w:r>
        <w:rPr>
          <w:rFonts w:hint="eastAsia" w:ascii="仿宋" w:hAnsi="仿宋" w:eastAsia="仿宋" w:cs="仿宋"/>
          <w:color w:val="000000"/>
          <w:sz w:val="32"/>
          <w:szCs w:val="24"/>
          <w:highlight w:val="none"/>
          <w:lang w:val="en-US"/>
        </w:rPr>
        <w:t>个，共涉及资金</w:t>
      </w:r>
      <w:r>
        <w:rPr>
          <w:rFonts w:hint="eastAsia" w:ascii="仿宋" w:hAnsi="仿宋" w:eastAsia="仿宋" w:cs="仿宋"/>
          <w:kern w:val="2"/>
          <w:sz w:val="32"/>
          <w:szCs w:val="32"/>
          <w:highlight w:val="none"/>
          <w:lang w:val="en-US" w:eastAsia="zh-CN"/>
        </w:rPr>
        <w:t>985</w:t>
      </w:r>
      <w:r>
        <w:rPr>
          <w:rFonts w:hint="eastAsia" w:ascii="仿宋" w:hAnsi="仿宋" w:eastAsia="仿宋" w:cs="仿宋"/>
          <w:color w:val="000000"/>
          <w:sz w:val="32"/>
          <w:szCs w:val="24"/>
          <w:highlight w:val="none"/>
          <w:lang w:val="en-US"/>
        </w:rPr>
        <w:t>万元，占一般公共预算项目支出总额的</w:t>
      </w:r>
      <w:r>
        <w:rPr>
          <w:rFonts w:hint="eastAsia" w:ascii="仿宋" w:hAnsi="仿宋" w:eastAsia="仿宋" w:cs="仿宋"/>
          <w:kern w:val="2"/>
          <w:sz w:val="32"/>
          <w:szCs w:val="32"/>
          <w:highlight w:val="none"/>
          <w:lang w:val="en-US" w:eastAsia="zh-CN"/>
        </w:rPr>
        <w:t>100%。</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本年无政府性基金预算项目。</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本年无国有资本经营预算项目。</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本年无部门评价。</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本年无部门整体支出绩效评价。</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本年无下属部门或单位整体支出绩效评价。</w:t>
      </w:r>
    </w:p>
    <w:p>
      <w:pPr>
        <w:numPr>
          <w:ilvl w:val="0"/>
          <w:numId w:val="0"/>
        </w:numPr>
        <w:spacing w:beforeLines="0" w:afterLines="0" w:line="600" w:lineRule="exact"/>
        <w:ind w:firstLine="642" w:firstLineChars="200"/>
        <w:rPr>
          <w:rFonts w:hint="eastAsia" w:ascii="仿宋" w:hAnsi="仿宋" w:eastAsia="仿宋" w:cs="仿宋"/>
          <w:b/>
          <w:color w:val="000000"/>
          <w:sz w:val="32"/>
          <w:szCs w:val="24"/>
          <w:highlight w:val="none"/>
          <w:lang w:val="en-US" w:eastAsia="zh-CN"/>
        </w:rPr>
      </w:pPr>
    </w:p>
    <w:p>
      <w:pPr>
        <w:numPr>
          <w:ilvl w:val="0"/>
          <w:numId w:val="0"/>
        </w:numPr>
        <w:spacing w:beforeLines="0" w:afterLines="0" w:line="600" w:lineRule="exact"/>
        <w:ind w:firstLine="642"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2</w:t>
      </w:r>
      <w:r>
        <w:rPr>
          <w:rFonts w:hint="eastAsia" w:ascii="仿宋" w:hAnsi="仿宋" w:eastAsia="仿宋" w:cs="仿宋"/>
          <w:b/>
          <w:color w:val="000000"/>
          <w:sz w:val="32"/>
          <w:szCs w:val="24"/>
          <w:highlight w:val="none"/>
          <w:lang w:val="en-US"/>
        </w:rPr>
        <w:t>.单位决算中项目绩效自评结果</w:t>
      </w:r>
    </w:p>
    <w:p>
      <w:pPr>
        <w:spacing w:beforeLines="0" w:afterLines="0" w:line="600" w:lineRule="exact"/>
        <w:ind w:firstLine="640" w:firstLineChars="2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衢州市财政局随决算公开2023年度本单位项目支出绩效自评结果（详见附件）。其中，会计管理及培训经费项目和金财工程（数字财政）建设项目绩效自评具体情况如下：会计管理理及培训经费项目绩效自评综述：根据年初设定的绩效目标，项目自评得分100分，自评结论为“优”。项目全年预算数为110万元，执行数为96.45万元，完成预算的87.68%。项目绩效目标完成情况：一是组织开展管理会计，全年累计培训人数300余人次；二是安全有序开展各项会计专业技术资格考试，保障各类会计考试安全顺利完成。发现的问题及原因：一是管理会计应用实践有待提升；二是财政资金使用效益有待进一步优化。</w:t>
      </w: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 </w:t>
      </w:r>
    </w:p>
    <w:p>
      <w:pPr>
        <w:pStyle w:val="17"/>
        <w:sectPr>
          <w:headerReference r:id="rId4" w:type="default"/>
          <w:pgSz w:w="11907" w:h="16839"/>
          <w:pgMar w:top="2" w:right="2" w:bottom="992" w:left="2" w:header="0" w:footer="720" w:gutter="0"/>
          <w:cols w:space="720" w:num="1"/>
        </w:sectPr>
      </w:pPr>
      <w:r>
        <w:pict>
          <v:shape id="_x0000_i1025" o:spt="75" type="#_x0000_t75" style="height:792.25pt;width:595.15pt;" filled="f" coordsize="21600,21600">
            <v:path/>
            <v:fill on="f" focussize="0,0"/>
            <v:stroke/>
            <v:imagedata r:id="rId8" o:title=""/>
            <o:lock v:ext="edit" aspectratio="t"/>
            <w10:wrap type="none"/>
            <w10:anchorlock/>
          </v:shape>
        </w:pict>
      </w: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    金财工程（数字财政）建设项目绩效自评综述：根据年初设定的绩效目标，项目自评得分100分，自评结论为“优”。项目全年预算数为402.46万元，执行数为398.15万元，完成预算的98.93%。项目绩效目标完成情况：一是金财工程一体化、财政综合办公平台等软硬件实施有效维保；二是办公设备、机房环境设备有效更新；三是完成系统安全等级保护测评。发现的问题及原因：资金支出存在滞后现象，项目资金效益有待进一步提高。下一步改进措施：一是严格按照项目推进进度，及时跟进资金支付工作；二是严格落实项目资金效益管理，提高财政资金使用效益。</w:t>
      </w:r>
    </w:p>
    <w:p>
      <w:pPr>
        <w:pStyle w:val="17"/>
        <w:sectPr>
          <w:headerReference r:id="rId5" w:type="default"/>
          <w:pgSz w:w="11907" w:h="16839"/>
          <w:pgMar w:top="2" w:right="2" w:bottom="992" w:left="2" w:header="0" w:footer="720" w:gutter="0"/>
          <w:cols w:space="720" w:num="1"/>
        </w:sectPr>
      </w:pPr>
      <w:r>
        <w:pict>
          <v:shape id="_x0000_i1026" o:spt="75" type="#_x0000_t75" style="height:792.25pt;width:595.15pt;" filled="f" coordsize="21600,21600">
            <v:path/>
            <v:fill on="f" focussize="0,0"/>
            <v:stroke/>
            <v:imagedata r:id="rId9" o:title=""/>
            <o:lock v:ext="edit" aspectratio="t"/>
            <w10:wrap type="none"/>
            <w10:anchorlock/>
          </v:shape>
        </w:pict>
      </w:r>
    </w:p>
    <w:p>
      <w:pPr>
        <w:numPr>
          <w:ilvl w:val="0"/>
          <w:numId w:val="0"/>
        </w:numPr>
        <w:spacing w:beforeLines="0" w:afterLines="0" w:line="600" w:lineRule="exact"/>
        <w:ind w:firstLine="642"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.财政评价项目绩效评价结果</w:t>
      </w:r>
    </w:p>
    <w:p>
      <w:pPr>
        <w:spacing w:beforeLines="0" w:afterLines="0" w:line="600" w:lineRule="exact"/>
        <w:ind w:firstLine="640" w:firstLineChars="200"/>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无</w:t>
      </w:r>
    </w:p>
    <w:p>
      <w:pPr>
        <w:numPr>
          <w:ilvl w:val="0"/>
          <w:numId w:val="0"/>
        </w:numPr>
        <w:spacing w:beforeLines="0" w:afterLines="0" w:line="600" w:lineRule="exact"/>
        <w:ind w:left="641" w:leftChars="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4.</w:t>
      </w:r>
      <w:r>
        <w:rPr>
          <w:rFonts w:hint="eastAsia" w:ascii="仿宋" w:hAnsi="仿宋" w:eastAsia="仿宋" w:cs="仿宋"/>
          <w:b/>
          <w:color w:val="000000"/>
          <w:sz w:val="32"/>
          <w:szCs w:val="24"/>
          <w:highlight w:val="none"/>
          <w:lang w:val="en-US"/>
        </w:rPr>
        <w:t>部门评价项目绩效评价结果</w:t>
      </w:r>
    </w:p>
    <w:p>
      <w:pPr>
        <w:spacing w:beforeLines="0" w:afterLines="0" w:line="600" w:lineRule="exact"/>
        <w:ind w:firstLine="640" w:firstLineChars="2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无</w:t>
      </w:r>
    </w:p>
    <w:p>
      <w:pPr>
        <w:spacing w:beforeLines="0" w:afterLines="0" w:line="600" w:lineRule="exact"/>
        <w:ind w:firstLine="320" w:firstLineChars="100"/>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 xml:space="preserve">  说明：部门评价项目是指本部门自行开展的评价对象为本部门政策、项目、整体支出或下属单位整体支出，并单独出具评价报告的绩效评价项目；财政评价项目是指由财政部门开展的评价对象为预算部门政策、项目或整体支出，并单独出具评价报告的绩效评价项目。</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pPr>
      <w:bookmarkStart w:id="62" w:name="_Toc_1_2_0000000061"/>
      <w:bookmarkStart w:id="63" w:name="_Toc6172"/>
      <w:r>
        <w:rPr>
          <w:rFonts w:hint="eastAsia" w:ascii="黑体" w:hAnsi="宋体" w:eastAsia="黑体" w:cs="黑体"/>
          <w:kern w:val="2"/>
          <w:sz w:val="32"/>
          <w:szCs w:val="32"/>
          <w:lang w:val="en-US" w:eastAsia="zh-CN"/>
        </w:rPr>
        <w:t>四、名词解释</w:t>
      </w:r>
      <w:bookmarkEnd w:id="62"/>
      <w:bookmarkEnd w:id="63"/>
    </w:p>
    <w:p>
      <w:pPr>
        <w:spacing w:beforeLines="0" w:afterLines="0" w:line="600" w:lineRule="exact"/>
        <w:ind w:firstLine="640"/>
        <w:rPr>
          <w:rFonts w:hint="eastAsia" w:ascii="仿宋" w:hAnsi="仿宋" w:eastAsia="仿宋" w:cs="仿宋"/>
          <w:color w:val="000000"/>
          <w:sz w:val="32"/>
          <w:szCs w:val="24"/>
          <w:highlight w:val="none"/>
          <w:lang w:val="zh-CN"/>
        </w:rPr>
      </w:pPr>
      <w:r>
        <w:rPr>
          <w:rFonts w:hint="eastAsia" w:ascii="仿宋" w:hAnsi="仿宋" w:eastAsia="仿宋" w:cs="仿宋"/>
          <w:color w:val="000000"/>
          <w:sz w:val="32"/>
          <w:szCs w:val="24"/>
          <w:highlight w:val="none"/>
          <w:lang w:val="zh-CN"/>
        </w:rPr>
        <w:t>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zh-CN"/>
        </w:rPr>
        <w:t>2.事业收入：指事业单位开展专业业务活动及辅助活动所取得的收入。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3.经营收入：指事业单位在专业业务活动及辅助活动之外开展非独立核算经营活动取得的收入。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4.上级补助收入：指事业单位从主管部门和上级单位取得的非财政补助收入。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5.附属单位上缴收入：指事业单位附属独立核算单位按照有关规定上缴的收入。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6.其他收入：指预算单位在“财政拨款”、“事业收入”、“经营收入”、“上级补助收入”、“附属单位上缴收入”等之外取得的各项收入。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7.使用非财政拨款结余</w:t>
      </w:r>
      <w:r>
        <w:rPr>
          <w:rFonts w:hint="eastAsia" w:ascii="仿宋" w:hAnsi="仿宋" w:eastAsia="仿宋" w:cs="仿宋"/>
          <w:color w:val="000000"/>
          <w:sz w:val="32"/>
          <w:szCs w:val="24"/>
          <w:highlight w:val="none"/>
          <w:lang w:val="en-US" w:eastAsia="zh-CN"/>
        </w:rPr>
        <w:t>（含专用结余）</w:t>
      </w:r>
      <w:r>
        <w:rPr>
          <w:rFonts w:hint="eastAsia" w:ascii="仿宋" w:hAnsi="仿宋" w:eastAsia="仿宋" w:cs="仿宋"/>
          <w:color w:val="000000"/>
          <w:sz w:val="32"/>
          <w:szCs w:val="24"/>
          <w:highlight w:val="none"/>
          <w:lang w:val="en-US"/>
        </w:rPr>
        <w:t>：指事业单位</w:t>
      </w:r>
      <w:r>
        <w:rPr>
          <w:rFonts w:hint="eastAsia" w:ascii="仿宋" w:hAnsi="仿宋" w:eastAsia="仿宋" w:cs="仿宋"/>
          <w:color w:val="000000"/>
          <w:sz w:val="32"/>
          <w:szCs w:val="24"/>
          <w:highlight w:val="none"/>
          <w:lang w:val="en-US" w:eastAsia="zh-CN"/>
        </w:rPr>
        <w:t>按照预算管理要求</w:t>
      </w:r>
      <w:r>
        <w:rPr>
          <w:rFonts w:hint="eastAsia" w:ascii="仿宋" w:hAnsi="仿宋" w:eastAsia="仿宋" w:cs="仿宋"/>
          <w:color w:val="000000"/>
          <w:sz w:val="32"/>
          <w:szCs w:val="24"/>
          <w:highlight w:val="none"/>
          <w:lang w:val="en-US"/>
        </w:rPr>
        <w:t>使用非财政拨款结余弥补收支差额的金额</w:t>
      </w:r>
      <w:r>
        <w:rPr>
          <w:rFonts w:hint="eastAsia" w:ascii="仿宋" w:hAnsi="仿宋" w:eastAsia="仿宋" w:cs="仿宋"/>
          <w:color w:val="000000"/>
          <w:sz w:val="32"/>
          <w:szCs w:val="24"/>
          <w:highlight w:val="none"/>
          <w:lang w:val="en-US" w:eastAsia="zh-CN"/>
        </w:rPr>
        <w:t>，以及使用专用结余安排支出的金额</w:t>
      </w:r>
      <w:r>
        <w:rPr>
          <w:rFonts w:hint="eastAsia" w:ascii="仿宋" w:hAnsi="仿宋" w:eastAsia="仿宋" w:cs="仿宋"/>
          <w:color w:val="000000"/>
          <w:sz w:val="32"/>
          <w:szCs w:val="24"/>
          <w:highlight w:val="none"/>
          <w:lang w:val="en-US"/>
        </w:rPr>
        <w:t>。</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8.年初结转和结余：指预算单位以前年度尚未完成、结转到本年仍按原规定用途继续使用的资金。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9.年末结转和结余：指单位按有关规定结转到下年或以后年度继续使用的资金。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10.基本支出：指预算单位为保障其正常运转，完成日常工作任务所发生的支出，包括人员经费支出和日常公用经费支出。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11.项目支出：指预算单位为完成其特定的行政工作任务或事业发展目标所发生的支出。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12.上缴上级支出：填列事业单位按照财政部门和主管部门的规定上缴上级单位的支出。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13.经营支出：指事业单位在专业业务活动及其辅助活动之外开展非独立核算经营活动发生的支出。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14.附属单位补助支出：填列事业单位用财政补助收入之外的收入对附属单位补助发生的支出。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hint="eastAsia" w:ascii="仿宋" w:hAnsi="仿宋" w:eastAsia="仿宋" w:cs="仿宋"/>
          <w:color w:val="000000"/>
          <w:sz w:val="32"/>
          <w:szCs w:val="24"/>
          <w:highlight w:val="none"/>
        </w:rPr>
      </w:pPr>
      <w:r>
        <w:rPr>
          <w:rFonts w:hint="eastAsia" w:ascii="仿宋" w:hAnsi="仿宋" w:eastAsia="仿宋" w:cs="仿宋"/>
          <w:kern w:val="0"/>
          <w:sz w:val="32"/>
          <w:szCs w:val="32"/>
          <w:highlight w:val="none"/>
          <w:lang w:val="en-US" w:eastAsia="zh-CN"/>
        </w:rPr>
        <w:t>17.一般公共服务支出（类）财政事务（款）行政运行（项）：指局本级及下属实行公务员管理事业单位的基本支出。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18.一般公共服务支出（类）财政事务（款）信息化建设（项）：指局本级及下属实行公务员管理事业单位推动信息化建设产生的各项支出。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19.一般公共服务支出（类）财政事务（款）财政委托业务支出（项）：指局本级及下属实行公务员管理事业单位为推动财政资金监管、财政资金使用绩效等方面的支出。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20．一般公共服务支出（类）财政事务（款）其他财政事务支出（项）：指除上述项目以外的其他财政事务方面的支出。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21．社会保障和就业支出（类）行政事业单位养老支出（款）机关事业单位基本养老保险缴费支出（项）：指局本级和局属事业单位实施养老保险制度由单位缴纳的基本养老保险费支出。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22．社会保障和就业支出（类）行政事业单位养老支出（款）机关事业单位职业年金缴费支出（项）：指局本级和局属事业单位实施养老保险制度由单位实际缴纳的职业年金支出。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23．社会保障和就业支出（类）行政事业单位养老支出（款）其他行政事业单位离退休支出（项）：指局本级和局属事业单位离休干部经费。</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24.卫生健康支出（类）行政事业单位医疗（款）其他行政事业单位医疗支出（项）：指局本级和局属事业单位按照国家政策规定的公务员医疗补助支出。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25．住房保障支出（类）住房改革支出（款）住房公积金（项）：指局本级和局属事业单位按照国家政策规定为干部职工缴纳的住房公积金支出。</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sectPr>
          <w:pgSz w:w="11906" w:h="16838"/>
          <w:pgMar w:top="1440" w:right="1800" w:bottom="1440" w:left="1800" w:header="851" w:footer="992" w:gutter="0"/>
          <w:pgNumType w:fmt="decimal"/>
          <w:cols w:space="425" w:num="1"/>
          <w:docGrid w:type="lines" w:linePitch="312" w:charSpace="0"/>
        </w:sectPr>
      </w:pPr>
      <w:bookmarkStart w:id="64" w:name="_Toc439"/>
      <w:bookmarkStart w:id="65" w:name="_Toc_1_2_0000000062"/>
      <w:r>
        <w:rPr>
          <w:rFonts w:hint="eastAsia" w:ascii="黑体" w:hAnsi="宋体" w:eastAsia="黑体" w:cs="黑体"/>
          <w:kern w:val="2"/>
          <w:sz w:val="32"/>
          <w:szCs w:val="32"/>
          <w:lang w:val="en-US" w:eastAsia="zh-CN"/>
        </w:rPr>
        <w:t>五、附件</w:t>
      </w:r>
      <w:bookmarkEnd w:id="64"/>
      <w:bookmarkEnd w:id="65"/>
    </w:p>
    <w:p>
      <w:pPr>
        <w:pStyle w:val="17"/>
      </w:pPr>
      <w:r>
        <w:pict>
          <v:shape id="_x0000_i1027" o:spt="75" type="#_x0000_t75" style="height:792.25pt;width:595.15pt;" filled="f" coordsize="21600,21600">
            <v:path/>
            <v:fill on="f" focussize="0,0"/>
            <v:stroke/>
            <v:imagedata r:id="rId10" o:title=""/>
            <o:lock v:ext="edit" aspectratio="t"/>
            <w10:wrap type="none"/>
            <w10:anchorlock/>
          </v:shape>
        </w:pict>
      </w:r>
    </w:p>
    <w:sectPr>
      <w:headerReference r:id="rId6" w:type="default"/>
      <w:pgSz w:w="11907" w:h="16839"/>
      <w:pgMar w:top="2" w:right="2" w:bottom="992" w:left="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创艺简标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vcmrh6wEAAMEDAAAOAAAAZHJz&#10;L2Uyb0RvYy54bWytU0uOEzEQ3SNxB8t70kmEUGi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Zamt3zl5x54WhIpy+fT1+/n759YvMs&#10;UB9iTXUPYYPjLlKY2Q4aXf4SDzYUUY9XUdWQmKTkbDFfLKakvaSzy4ZwqsfrAWN6o8CxHDQcaWpF&#10;THG4i+lceinJr3lYG2spL2rrf0kQZs5UueNzjzlKw3YYG99CeyS+CGcjxCDXht68EzFtBNLkqU9y&#10;c7qnRVvoGw5jxFkH+PFv+VxPA6FTznpyUsM9WZ0z+9bToLLpLgFegu0l8Hv3GsiaM84w2RLSBeEl&#10;wTU8cbYPaHYd4WthY/aCIGKv9okkKMpkfmdSI23ySdF29HQ24s/7UvX456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vcmrh6wEAAMEDAAAOAAAAAAAAAAEAIAAAADUBAABkcnMvZTJvRG9j&#10;LnhtbFBLBQYAAAAABgAGAFkBAACS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2VlN2Q5M2FhMDYwN2VkZjM0ZmM5Zjk0MDM1MzAifQ=="/>
  </w:docVars>
  <w:rsids>
    <w:rsidRoot w:val="00000000"/>
    <w:rsid w:val="0EFF0EDF"/>
    <w:rsid w:val="7FB59F0A"/>
    <w:rsid w:val="BFB7F5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sz w:val="32"/>
    </w:rPr>
  </w:style>
  <w:style w:type="paragraph" w:customStyle="1" w:styleId="17">
    <w:name w:val="Normal_bfab5406-ef7f-43c9-ae84-40aa8809fb93"/>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7466</Words>
  <Characters>21640</Characters>
  <Lines>1</Lines>
  <Paragraphs>1</Paragraphs>
  <TotalTime>8</TotalTime>
  <ScaleCrop>false</ScaleCrop>
  <LinksUpToDate>false</LinksUpToDate>
  <CharactersWithSpaces>21860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2023-08-10T01:32:00Z</dcterms:created>
  <dc:creator>审计风控部LJ</dc:creator>
  <cp:lastModifiedBy>刘宸希</cp:lastModifiedBy>
  <dcterms:modified xsi:type="dcterms:W3CDTF">2024-09-09T09:20:13Z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E1D037E944054E51BF1EA0CADCD049D0_13</vt:lpwstr>
  </property>
</Properties>
</file>