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firstLine="72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</w:rPr>
        <w:t>2022年度行政事业性国有资产分析报告提纲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部门/地区的基本情况</w:t>
      </w:r>
    </w:p>
    <w:p>
      <w:pPr>
        <w:widowControl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本部门、本地区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所属行政事业单位机构数、编制人数、实有人数等，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</w:rPr>
        <w:t>省级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部门还应写明部门主要职责。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资产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总量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情况</w:t>
      </w:r>
    </w:p>
    <w:p>
      <w:pPr>
        <w:numPr>
          <w:ilvl w:val="0"/>
          <w:numId w:val="2"/>
        </w:numPr>
        <w:spacing w:line="360" w:lineRule="auto"/>
        <w:ind w:firstLine="633" w:firstLineChars="198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资产的总体情况分析。主要包括本部门、本地区资产总量、分布、构成、变动等情况，同时可结合预算收支、债务、历年情况等对资产分布、构成、变动的原因作出分析。其中</w:t>
      </w:r>
      <w:r>
        <w:rPr>
          <w:rFonts w:ascii="仿宋_GB2312" w:eastAsia="仿宋_GB2312"/>
          <w:color w:val="000000" w:themeColor="text1"/>
          <w:sz w:val="32"/>
          <w:szCs w:val="32"/>
        </w:rPr>
        <w:t>，构成情况包含流动资产、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无形资产</w:t>
      </w:r>
      <w:r>
        <w:rPr>
          <w:rFonts w:ascii="仿宋_GB2312" w:eastAsia="仿宋_GB2312"/>
          <w:color w:val="000000" w:themeColor="text1"/>
          <w:sz w:val="32"/>
          <w:szCs w:val="32"/>
        </w:rPr>
        <w:t>、固定资产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、在建工程、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长期投资、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公共基础设施、政府储备物资、文物文化资产、保障性住房、</w:t>
      </w:r>
      <w:r>
        <w:rPr>
          <w:rFonts w:ascii="仿宋_GB2312" w:eastAsia="仿宋_GB2312"/>
          <w:color w:val="000000" w:themeColor="text1"/>
          <w:sz w:val="32"/>
          <w:szCs w:val="32"/>
        </w:rPr>
        <w:t>PPP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项目资产等</w:t>
      </w:r>
      <w:r>
        <w:rPr>
          <w:rFonts w:ascii="仿宋_GB2312" w:eastAsia="仿宋_GB2312"/>
          <w:color w:val="000000" w:themeColor="text1"/>
          <w:sz w:val="32"/>
          <w:szCs w:val="32"/>
        </w:rPr>
        <w:t>占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资产总额比例</w:t>
      </w:r>
      <w:r>
        <w:rPr>
          <w:rFonts w:ascii="仿宋_GB2312" w:eastAsia="仿宋_GB2312"/>
          <w:color w:val="000000" w:themeColor="text1"/>
          <w:sz w:val="32"/>
          <w:szCs w:val="32"/>
        </w:rPr>
        <w:t>情况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各地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财政部门应对本地区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教育、卫生、文化、科技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交通等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重点行业进行分析。</w:t>
      </w:r>
    </w:p>
    <w:p>
      <w:pPr>
        <w:spacing w:line="360" w:lineRule="auto"/>
        <w:ind w:firstLine="633" w:firstLineChars="198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资产配置、使用、处置、收益情况分析。分析本部门、本地区资产整体配置、使用、处置、收益情况，特别是与部门、单位履行职能和促进行政管理、事业发展相关的重点资产的配置、使用、处置、收益等情况。</w:t>
      </w:r>
    </w:p>
    <w:p>
      <w:pPr>
        <w:tabs>
          <w:tab w:val="left" w:pos="8595"/>
        </w:tabs>
        <w:ind w:firstLine="640" w:firstLineChars="200"/>
        <w:rPr>
          <w:rFonts w:ascii="楷体_GB2312" w:hAnsi="楷体" w:eastAsia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（三）资产总体绩效情况。分析本部门、本地区资产整体配置效率和使用效益等。</w:t>
      </w:r>
    </w:p>
    <w:p>
      <w:pPr>
        <w:ind w:firstLine="720" w:firstLineChars="22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三、资产管理工作情况及成效</w:t>
      </w:r>
    </w:p>
    <w:p>
      <w:pPr>
        <w:pStyle w:val="17"/>
        <w:ind w:left="159" w:leftChars="76" w:firstLine="640"/>
        <w:rPr>
          <w:rFonts w:ascii="仿宋_GB2312" w:hAnsi="楷体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（一）认真总结本部门、本地区在制度制定、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全生命周期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管理以及信息化建设等方面的情况，重点反映加强资源统筹、提高资产运行绩效、强化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基础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管理等方面的举措。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各地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财政部门应对本地区资产管理信息系统建设情况和融入预算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一体化系统的工作进行总结。</w:t>
      </w:r>
    </w:p>
    <w:p>
      <w:pPr>
        <w:pStyle w:val="17"/>
        <w:ind w:left="159" w:leftChars="76" w:firstLine="640"/>
        <w:rPr>
          <w:rFonts w:ascii="仿宋_GB2312" w:hAnsi="华文仿宋" w:eastAsia="仿宋_GB2312" w:cs="华文仿宋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（二）全面反映本部门、本地区行政事业性国有资产管理在贯彻落实党中央、国务院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eastAsia="zh-CN"/>
        </w:rPr>
        <w:t>和省委、省政府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决策部署，保障行政运转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提供社会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公共服务以及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推进行政事业单位各项改革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等方面所发挥的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积极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作用。重点反映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教育、卫生、文化、科技等行业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资产在抗击新冠肺炎疫情、促进公共服务均等化、助力乡村振兴、提升创新能力等工作中发挥的作用。</w:t>
      </w:r>
    </w:p>
    <w:p>
      <w:pPr>
        <w:pStyle w:val="17"/>
        <w:ind w:left="159" w:leftChars="76" w:firstLine="640"/>
        <w:rPr>
          <w:rFonts w:ascii="仿宋_GB2312" w:hAnsi="楷体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</w:rPr>
        <w:t>（三）全面总结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本部门、本地区公共基础设施等行政事业性国有资产管理情况，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/>
        </w:rPr>
        <w:t>重点反映公路资产、</w:t>
      </w:r>
      <w:r>
        <w:rPr>
          <w:rFonts w:ascii="仿宋_GB2312" w:eastAsia="仿宋_GB2312"/>
          <w:color w:val="000000" w:themeColor="text1"/>
          <w:sz w:val="32"/>
          <w:szCs w:val="32"/>
          <w:lang w:val="en"/>
        </w:rPr>
        <w:t>水利资产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/>
        </w:rPr>
        <w:t>专项清查情况。</w:t>
      </w:r>
    </w:p>
    <w:p>
      <w:pPr>
        <w:pStyle w:val="17"/>
        <w:ind w:left="159" w:leftChars="76" w:firstLine="640"/>
        <w:rPr>
          <w:rFonts w:ascii="仿宋_GB2312" w:hAnsi="华文仿宋" w:eastAsia="仿宋_GB2312" w:cs="华文仿宋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（四）梳理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</w:rPr>
        <w:t>人大、审计、巡视等提出的行政事业性国有资产管理问题及建议，总结整改措施和整改进展情况。</w:t>
      </w:r>
    </w:p>
    <w:p>
      <w:pPr>
        <w:spacing w:line="360" w:lineRule="auto"/>
        <w:ind w:firstLine="640" w:firstLineChars="200"/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val="en" w:eastAsia="zh-CN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</w:rPr>
        <w:t>四、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  <w:t>资产盘活工作举措和成效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《浙江省财政厅关于进一步盘活行政事业性国有资产的通知》（浙财资产〔2023〕12号）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，汇总反映本部门、本地区推进行政事业单位国有资产盘活利用的相关举措和工作成效。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  <w:t>资产管理工作存在的问题及建议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对照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《浙江省行政事业性国有资产管理办法》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（浙财资产〔2022〕160号）等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规定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对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</w:rPr>
        <w:t>行政事业性国有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资产管理各方面存在的问题进行梳理和自查，提出下一步推进资产管理的工作思路。</w:t>
      </w:r>
    </w:p>
    <w:p>
      <w:pPr>
        <w:ind w:firstLine="720" w:firstLineChars="225"/>
        <w:rPr>
          <w:rFonts w:asci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</w:rPr>
        <w:t>、其他需要报告的重要事项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对本部门、本地区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</w:rPr>
        <w:t>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产损失、权属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不清晰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等重要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</w:rPr>
        <w:t>资产情况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以及其他重要事项进行详细分析说明。</w:t>
      </w:r>
    </w:p>
    <w:p>
      <w:pPr>
        <w:spacing w:line="360" w:lineRule="auto"/>
        <w:ind w:firstLine="640" w:firstLineChars="200"/>
        <w:rPr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本部门、本地区政府储备物资、公共基础设施、文物文化资产、保障性住房数据与行业统计数据对比情况，如不一致应说明差异原因。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0583036">
    <w:nsid w:val="30E91A7C"/>
    <w:multiLevelType w:val="multilevel"/>
    <w:tmpl w:val="30E91A7C"/>
    <w:lvl w:ilvl="0" w:tentative="1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19451777">
    <w:nsid w:val="BFE4EF81"/>
    <w:multiLevelType w:val="singleLevel"/>
    <w:tmpl w:val="BFE4EF81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20583036"/>
  </w:num>
  <w:num w:numId="2">
    <w:abstractNumId w:val="32194517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NjYwZmFmZTEzMzg4ZDU3OTU4Y2JlMWFiNmM2NTYifQ=="/>
  </w:docVars>
  <w:rsids>
    <w:rsidRoot w:val="00FE599C"/>
    <w:rsid w:val="00002F5F"/>
    <w:rsid w:val="00010CC2"/>
    <w:rsid w:val="000133B5"/>
    <w:rsid w:val="0001452F"/>
    <w:rsid w:val="00020726"/>
    <w:rsid w:val="000263E6"/>
    <w:rsid w:val="000315FA"/>
    <w:rsid w:val="000475E3"/>
    <w:rsid w:val="00071ECA"/>
    <w:rsid w:val="00081B26"/>
    <w:rsid w:val="00096F37"/>
    <w:rsid w:val="000A2A43"/>
    <w:rsid w:val="000C3825"/>
    <w:rsid w:val="000F294E"/>
    <w:rsid w:val="001116ED"/>
    <w:rsid w:val="00112F28"/>
    <w:rsid w:val="00130E81"/>
    <w:rsid w:val="00134B3E"/>
    <w:rsid w:val="0014437D"/>
    <w:rsid w:val="00144439"/>
    <w:rsid w:val="00144A45"/>
    <w:rsid w:val="00170F85"/>
    <w:rsid w:val="00185DBB"/>
    <w:rsid w:val="001B0B4B"/>
    <w:rsid w:val="001B1313"/>
    <w:rsid w:val="001B7D17"/>
    <w:rsid w:val="001C2856"/>
    <w:rsid w:val="001C5EFB"/>
    <w:rsid w:val="001E00AB"/>
    <w:rsid w:val="001E1624"/>
    <w:rsid w:val="001F54A3"/>
    <w:rsid w:val="001F7B3B"/>
    <w:rsid w:val="00200E75"/>
    <w:rsid w:val="00201F8E"/>
    <w:rsid w:val="00222F75"/>
    <w:rsid w:val="00244F92"/>
    <w:rsid w:val="002620BC"/>
    <w:rsid w:val="00263509"/>
    <w:rsid w:val="0027640E"/>
    <w:rsid w:val="00281DD6"/>
    <w:rsid w:val="002963AD"/>
    <w:rsid w:val="002A206B"/>
    <w:rsid w:val="002A3AC2"/>
    <w:rsid w:val="002B0DCB"/>
    <w:rsid w:val="002E292B"/>
    <w:rsid w:val="002F06BB"/>
    <w:rsid w:val="0030044B"/>
    <w:rsid w:val="003004DC"/>
    <w:rsid w:val="00301967"/>
    <w:rsid w:val="0034210A"/>
    <w:rsid w:val="00364686"/>
    <w:rsid w:val="00377900"/>
    <w:rsid w:val="003857A9"/>
    <w:rsid w:val="00385AFF"/>
    <w:rsid w:val="00386292"/>
    <w:rsid w:val="003A01AE"/>
    <w:rsid w:val="003D677C"/>
    <w:rsid w:val="003F4032"/>
    <w:rsid w:val="003F569D"/>
    <w:rsid w:val="004359F4"/>
    <w:rsid w:val="00460D4E"/>
    <w:rsid w:val="00465733"/>
    <w:rsid w:val="0047294E"/>
    <w:rsid w:val="004751F5"/>
    <w:rsid w:val="0048463A"/>
    <w:rsid w:val="00487FB2"/>
    <w:rsid w:val="004937DF"/>
    <w:rsid w:val="004A094D"/>
    <w:rsid w:val="004A24AC"/>
    <w:rsid w:val="004B1C4B"/>
    <w:rsid w:val="004B3B35"/>
    <w:rsid w:val="004B4197"/>
    <w:rsid w:val="004B6BE1"/>
    <w:rsid w:val="004B7347"/>
    <w:rsid w:val="004C0C9C"/>
    <w:rsid w:val="004C529C"/>
    <w:rsid w:val="004C55CA"/>
    <w:rsid w:val="004C672F"/>
    <w:rsid w:val="004D47C6"/>
    <w:rsid w:val="004D6137"/>
    <w:rsid w:val="004D6FD1"/>
    <w:rsid w:val="004D76DC"/>
    <w:rsid w:val="004E0B94"/>
    <w:rsid w:val="004F5D6C"/>
    <w:rsid w:val="00500031"/>
    <w:rsid w:val="00500443"/>
    <w:rsid w:val="00500BDA"/>
    <w:rsid w:val="00502C20"/>
    <w:rsid w:val="00512DD9"/>
    <w:rsid w:val="00513DC4"/>
    <w:rsid w:val="0052477F"/>
    <w:rsid w:val="00542E86"/>
    <w:rsid w:val="00550488"/>
    <w:rsid w:val="00573CD4"/>
    <w:rsid w:val="00583436"/>
    <w:rsid w:val="005900D2"/>
    <w:rsid w:val="00590D26"/>
    <w:rsid w:val="005A2678"/>
    <w:rsid w:val="005B459B"/>
    <w:rsid w:val="005C0646"/>
    <w:rsid w:val="005D1BCA"/>
    <w:rsid w:val="005D4893"/>
    <w:rsid w:val="005D4BA3"/>
    <w:rsid w:val="005F31CB"/>
    <w:rsid w:val="005F757E"/>
    <w:rsid w:val="005F79EE"/>
    <w:rsid w:val="006131AB"/>
    <w:rsid w:val="0061516F"/>
    <w:rsid w:val="006168C2"/>
    <w:rsid w:val="00622F50"/>
    <w:rsid w:val="00632B94"/>
    <w:rsid w:val="00635A94"/>
    <w:rsid w:val="00635CD2"/>
    <w:rsid w:val="00636F94"/>
    <w:rsid w:val="006506DD"/>
    <w:rsid w:val="006572AC"/>
    <w:rsid w:val="00673993"/>
    <w:rsid w:val="00675ACA"/>
    <w:rsid w:val="00683829"/>
    <w:rsid w:val="00691261"/>
    <w:rsid w:val="006942CD"/>
    <w:rsid w:val="00696948"/>
    <w:rsid w:val="006A6FBC"/>
    <w:rsid w:val="006A79E2"/>
    <w:rsid w:val="006B134B"/>
    <w:rsid w:val="006B1FA0"/>
    <w:rsid w:val="006B214A"/>
    <w:rsid w:val="006B77D1"/>
    <w:rsid w:val="006C02D2"/>
    <w:rsid w:val="006C05DE"/>
    <w:rsid w:val="006E3DC9"/>
    <w:rsid w:val="006F4F95"/>
    <w:rsid w:val="00700518"/>
    <w:rsid w:val="00705E76"/>
    <w:rsid w:val="007067D5"/>
    <w:rsid w:val="00745F35"/>
    <w:rsid w:val="00746E5A"/>
    <w:rsid w:val="00756AE5"/>
    <w:rsid w:val="00773668"/>
    <w:rsid w:val="007856E6"/>
    <w:rsid w:val="007A2646"/>
    <w:rsid w:val="007F0ACA"/>
    <w:rsid w:val="00803104"/>
    <w:rsid w:val="0081099D"/>
    <w:rsid w:val="00810AE1"/>
    <w:rsid w:val="00823341"/>
    <w:rsid w:val="00827AF1"/>
    <w:rsid w:val="0084298B"/>
    <w:rsid w:val="00847EB0"/>
    <w:rsid w:val="00852036"/>
    <w:rsid w:val="008546AC"/>
    <w:rsid w:val="00870619"/>
    <w:rsid w:val="00877543"/>
    <w:rsid w:val="0088119B"/>
    <w:rsid w:val="00884236"/>
    <w:rsid w:val="00890275"/>
    <w:rsid w:val="008A1787"/>
    <w:rsid w:val="008A68BA"/>
    <w:rsid w:val="008B0F73"/>
    <w:rsid w:val="008B4F1B"/>
    <w:rsid w:val="008C3BDB"/>
    <w:rsid w:val="008D129A"/>
    <w:rsid w:val="008E0165"/>
    <w:rsid w:val="008E2117"/>
    <w:rsid w:val="008F111A"/>
    <w:rsid w:val="00907EBC"/>
    <w:rsid w:val="009170BE"/>
    <w:rsid w:val="00925324"/>
    <w:rsid w:val="009352B5"/>
    <w:rsid w:val="00936A46"/>
    <w:rsid w:val="00941CCA"/>
    <w:rsid w:val="00942D12"/>
    <w:rsid w:val="009625C7"/>
    <w:rsid w:val="009859EC"/>
    <w:rsid w:val="009912EB"/>
    <w:rsid w:val="009917C2"/>
    <w:rsid w:val="009A1249"/>
    <w:rsid w:val="009C3901"/>
    <w:rsid w:val="009C63E2"/>
    <w:rsid w:val="009D404A"/>
    <w:rsid w:val="009D5FC2"/>
    <w:rsid w:val="009D7888"/>
    <w:rsid w:val="009E659B"/>
    <w:rsid w:val="00A06D92"/>
    <w:rsid w:val="00A15CFF"/>
    <w:rsid w:val="00A169E7"/>
    <w:rsid w:val="00A16A3C"/>
    <w:rsid w:val="00A33549"/>
    <w:rsid w:val="00A52FDF"/>
    <w:rsid w:val="00A644D9"/>
    <w:rsid w:val="00A70CC9"/>
    <w:rsid w:val="00A7588B"/>
    <w:rsid w:val="00A80804"/>
    <w:rsid w:val="00A8440F"/>
    <w:rsid w:val="00A921F6"/>
    <w:rsid w:val="00AA188C"/>
    <w:rsid w:val="00AB3508"/>
    <w:rsid w:val="00AC153A"/>
    <w:rsid w:val="00AC4566"/>
    <w:rsid w:val="00AC4B40"/>
    <w:rsid w:val="00AE6AB5"/>
    <w:rsid w:val="00AF7E6B"/>
    <w:rsid w:val="00B2583B"/>
    <w:rsid w:val="00B53EB4"/>
    <w:rsid w:val="00B679B2"/>
    <w:rsid w:val="00B71F9F"/>
    <w:rsid w:val="00BA240A"/>
    <w:rsid w:val="00BA48D8"/>
    <w:rsid w:val="00BB3452"/>
    <w:rsid w:val="00BB5C28"/>
    <w:rsid w:val="00BB7EA2"/>
    <w:rsid w:val="00BE7F14"/>
    <w:rsid w:val="00C040F1"/>
    <w:rsid w:val="00C26CDD"/>
    <w:rsid w:val="00C3107B"/>
    <w:rsid w:val="00C45D26"/>
    <w:rsid w:val="00C5171E"/>
    <w:rsid w:val="00C619E7"/>
    <w:rsid w:val="00C66229"/>
    <w:rsid w:val="00CA0BDF"/>
    <w:rsid w:val="00CA160A"/>
    <w:rsid w:val="00CC03BE"/>
    <w:rsid w:val="00CC56FD"/>
    <w:rsid w:val="00CE4C1C"/>
    <w:rsid w:val="00D04363"/>
    <w:rsid w:val="00D055FC"/>
    <w:rsid w:val="00D05EF1"/>
    <w:rsid w:val="00D10985"/>
    <w:rsid w:val="00D15F77"/>
    <w:rsid w:val="00D32D47"/>
    <w:rsid w:val="00D34FC8"/>
    <w:rsid w:val="00D41DD5"/>
    <w:rsid w:val="00D53C06"/>
    <w:rsid w:val="00D655B5"/>
    <w:rsid w:val="00D7675F"/>
    <w:rsid w:val="00D8066F"/>
    <w:rsid w:val="00D806B5"/>
    <w:rsid w:val="00D82A96"/>
    <w:rsid w:val="00D85530"/>
    <w:rsid w:val="00D85CED"/>
    <w:rsid w:val="00D953B9"/>
    <w:rsid w:val="00DA663B"/>
    <w:rsid w:val="00DB2768"/>
    <w:rsid w:val="00DC0832"/>
    <w:rsid w:val="00DC440B"/>
    <w:rsid w:val="00DC7DDA"/>
    <w:rsid w:val="00DD3A4D"/>
    <w:rsid w:val="00DE5EC9"/>
    <w:rsid w:val="00DF4953"/>
    <w:rsid w:val="00E434F0"/>
    <w:rsid w:val="00E47166"/>
    <w:rsid w:val="00E53B13"/>
    <w:rsid w:val="00E73CE2"/>
    <w:rsid w:val="00E90F26"/>
    <w:rsid w:val="00EA294F"/>
    <w:rsid w:val="00EA7EAC"/>
    <w:rsid w:val="00EB1170"/>
    <w:rsid w:val="00EB7AEC"/>
    <w:rsid w:val="00EC06EF"/>
    <w:rsid w:val="00EE06FD"/>
    <w:rsid w:val="00EE461F"/>
    <w:rsid w:val="00EF05AA"/>
    <w:rsid w:val="00EF6879"/>
    <w:rsid w:val="00F00089"/>
    <w:rsid w:val="00F0109E"/>
    <w:rsid w:val="00F03D46"/>
    <w:rsid w:val="00F06EBD"/>
    <w:rsid w:val="00F22FBE"/>
    <w:rsid w:val="00F27E14"/>
    <w:rsid w:val="00F34E0F"/>
    <w:rsid w:val="00F420D9"/>
    <w:rsid w:val="00F47837"/>
    <w:rsid w:val="00F65FC3"/>
    <w:rsid w:val="00F67AD4"/>
    <w:rsid w:val="00F7087F"/>
    <w:rsid w:val="00F867DD"/>
    <w:rsid w:val="00F91AC1"/>
    <w:rsid w:val="00F94162"/>
    <w:rsid w:val="00FD57A1"/>
    <w:rsid w:val="00FE599C"/>
    <w:rsid w:val="00FF093F"/>
    <w:rsid w:val="00FF41E1"/>
    <w:rsid w:val="01166843"/>
    <w:rsid w:val="026172AC"/>
    <w:rsid w:val="02F809E2"/>
    <w:rsid w:val="04414801"/>
    <w:rsid w:val="04523525"/>
    <w:rsid w:val="07675800"/>
    <w:rsid w:val="07950205"/>
    <w:rsid w:val="07E35189"/>
    <w:rsid w:val="09FD0375"/>
    <w:rsid w:val="0ADA18C7"/>
    <w:rsid w:val="0B64113E"/>
    <w:rsid w:val="0C7F5CD8"/>
    <w:rsid w:val="0D2E476E"/>
    <w:rsid w:val="0DF32A69"/>
    <w:rsid w:val="0E3323B2"/>
    <w:rsid w:val="0EEB22FD"/>
    <w:rsid w:val="0F1015F2"/>
    <w:rsid w:val="101A4DDE"/>
    <w:rsid w:val="116454B7"/>
    <w:rsid w:val="11CD3961"/>
    <w:rsid w:val="128D6BB4"/>
    <w:rsid w:val="13A814F8"/>
    <w:rsid w:val="142A39AA"/>
    <w:rsid w:val="14EF7718"/>
    <w:rsid w:val="16B351AB"/>
    <w:rsid w:val="18F462C3"/>
    <w:rsid w:val="1A3C22BC"/>
    <w:rsid w:val="1A7C50C4"/>
    <w:rsid w:val="1B5B6257"/>
    <w:rsid w:val="1C53586C"/>
    <w:rsid w:val="1D21151E"/>
    <w:rsid w:val="1DFC6D7A"/>
    <w:rsid w:val="1E1C617D"/>
    <w:rsid w:val="1E6F1EE9"/>
    <w:rsid w:val="1FD21068"/>
    <w:rsid w:val="202E39B4"/>
    <w:rsid w:val="21833BFB"/>
    <w:rsid w:val="221C015A"/>
    <w:rsid w:val="23326A25"/>
    <w:rsid w:val="250817C9"/>
    <w:rsid w:val="254FB274"/>
    <w:rsid w:val="273A4F88"/>
    <w:rsid w:val="28927C94"/>
    <w:rsid w:val="28AD067D"/>
    <w:rsid w:val="29126FE4"/>
    <w:rsid w:val="2939585B"/>
    <w:rsid w:val="2BEA21C4"/>
    <w:rsid w:val="2CB47743"/>
    <w:rsid w:val="2F3B2D5A"/>
    <w:rsid w:val="2F3E30EF"/>
    <w:rsid w:val="309853B2"/>
    <w:rsid w:val="318E3E5D"/>
    <w:rsid w:val="31902152"/>
    <w:rsid w:val="33F11027"/>
    <w:rsid w:val="35AA5BF4"/>
    <w:rsid w:val="3757083F"/>
    <w:rsid w:val="37995A57"/>
    <w:rsid w:val="389968CD"/>
    <w:rsid w:val="39196A2A"/>
    <w:rsid w:val="3B164554"/>
    <w:rsid w:val="3B774148"/>
    <w:rsid w:val="3BA2254D"/>
    <w:rsid w:val="3D771506"/>
    <w:rsid w:val="3E503F19"/>
    <w:rsid w:val="3E8A7D75"/>
    <w:rsid w:val="3ED0249C"/>
    <w:rsid w:val="3EDC88D4"/>
    <w:rsid w:val="3FBD7618"/>
    <w:rsid w:val="3FDB5FFA"/>
    <w:rsid w:val="402B654B"/>
    <w:rsid w:val="40E66DE2"/>
    <w:rsid w:val="40FA29D2"/>
    <w:rsid w:val="43797382"/>
    <w:rsid w:val="43D5363B"/>
    <w:rsid w:val="44EF4922"/>
    <w:rsid w:val="453870F5"/>
    <w:rsid w:val="45FE6F89"/>
    <w:rsid w:val="4ADF0518"/>
    <w:rsid w:val="4B7D023E"/>
    <w:rsid w:val="4D2C130A"/>
    <w:rsid w:val="4D3D1799"/>
    <w:rsid w:val="4D5212ED"/>
    <w:rsid w:val="4DAA3A47"/>
    <w:rsid w:val="4DF43C52"/>
    <w:rsid w:val="4E2F6F8F"/>
    <w:rsid w:val="4EA16C5D"/>
    <w:rsid w:val="4EDD5757"/>
    <w:rsid w:val="4F5A754C"/>
    <w:rsid w:val="51E22B95"/>
    <w:rsid w:val="52CD7DA1"/>
    <w:rsid w:val="5374454A"/>
    <w:rsid w:val="547D42C3"/>
    <w:rsid w:val="55FA1630"/>
    <w:rsid w:val="56093C42"/>
    <w:rsid w:val="57171112"/>
    <w:rsid w:val="57C40364"/>
    <w:rsid w:val="57EE044E"/>
    <w:rsid w:val="58042AEB"/>
    <w:rsid w:val="586B4198"/>
    <w:rsid w:val="588D5F4E"/>
    <w:rsid w:val="591A7469"/>
    <w:rsid w:val="59EE51F2"/>
    <w:rsid w:val="5B2610D7"/>
    <w:rsid w:val="5B8378E5"/>
    <w:rsid w:val="5C7B225B"/>
    <w:rsid w:val="5CCE5AD7"/>
    <w:rsid w:val="5E500FAC"/>
    <w:rsid w:val="5F0A365F"/>
    <w:rsid w:val="5F0A3A93"/>
    <w:rsid w:val="5F6C335A"/>
    <w:rsid w:val="5FDF3A72"/>
    <w:rsid w:val="60D251B5"/>
    <w:rsid w:val="617918C3"/>
    <w:rsid w:val="62771729"/>
    <w:rsid w:val="63DE1145"/>
    <w:rsid w:val="64432DE3"/>
    <w:rsid w:val="650B7A25"/>
    <w:rsid w:val="65936BD2"/>
    <w:rsid w:val="667051EB"/>
    <w:rsid w:val="69167732"/>
    <w:rsid w:val="6B93037E"/>
    <w:rsid w:val="6C7F9869"/>
    <w:rsid w:val="6D2509E0"/>
    <w:rsid w:val="6D786448"/>
    <w:rsid w:val="6E965F42"/>
    <w:rsid w:val="71347FD6"/>
    <w:rsid w:val="7136612B"/>
    <w:rsid w:val="713C0EE7"/>
    <w:rsid w:val="72874BAE"/>
    <w:rsid w:val="73915D84"/>
    <w:rsid w:val="751C3AEB"/>
    <w:rsid w:val="760F4E8F"/>
    <w:rsid w:val="766A00BF"/>
    <w:rsid w:val="76E175D0"/>
    <w:rsid w:val="77AD5470"/>
    <w:rsid w:val="77EE0AD0"/>
    <w:rsid w:val="78841308"/>
    <w:rsid w:val="79BBD1F0"/>
    <w:rsid w:val="79BC2B12"/>
    <w:rsid w:val="79DB2AF2"/>
    <w:rsid w:val="79F4675F"/>
    <w:rsid w:val="7AEC944A"/>
    <w:rsid w:val="7C5028C4"/>
    <w:rsid w:val="7C9A74B8"/>
    <w:rsid w:val="7CBD1CF1"/>
    <w:rsid w:val="7CFFDC51"/>
    <w:rsid w:val="7DF706BB"/>
    <w:rsid w:val="7DF8774C"/>
    <w:rsid w:val="7E7F861A"/>
    <w:rsid w:val="7EBFBB38"/>
    <w:rsid w:val="7EC951E2"/>
    <w:rsid w:val="7FCF1F29"/>
    <w:rsid w:val="7FDDD7DD"/>
    <w:rsid w:val="7FFD44C5"/>
    <w:rsid w:val="8A77A974"/>
    <w:rsid w:val="8AFC51AF"/>
    <w:rsid w:val="8F3F8950"/>
    <w:rsid w:val="99A74EDD"/>
    <w:rsid w:val="AD7A127F"/>
    <w:rsid w:val="AEBF2ADB"/>
    <w:rsid w:val="AF4FF015"/>
    <w:rsid w:val="AFF7144D"/>
    <w:rsid w:val="AFFA3790"/>
    <w:rsid w:val="BBDBEE2E"/>
    <w:rsid w:val="CFEE2C12"/>
    <w:rsid w:val="D9FFACFB"/>
    <w:rsid w:val="DFEF7F0A"/>
    <w:rsid w:val="E6DBBED8"/>
    <w:rsid w:val="E6F0915C"/>
    <w:rsid w:val="F6DDE3A1"/>
    <w:rsid w:val="F78FA812"/>
    <w:rsid w:val="F7FFF892"/>
    <w:rsid w:val="FAF4666E"/>
    <w:rsid w:val="FAFF50AA"/>
    <w:rsid w:val="FBFE6E81"/>
    <w:rsid w:val="FDBB7708"/>
    <w:rsid w:val="FDFFE621"/>
    <w:rsid w:val="FED376FE"/>
    <w:rsid w:val="FF53DA80"/>
    <w:rsid w:val="FFBB58BA"/>
    <w:rsid w:val="FFD7507F"/>
    <w:rsid w:val="FFD7A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10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正文文本 字符"/>
    <w:link w:val="3"/>
    <w:qFormat/>
    <w:uiPriority w:val="0"/>
    <w:rPr>
      <w:rFonts w:ascii="仿宋_GB2312" w:hAnsi="宋体" w:eastAsia="仿宋_GB2312" w:cs="Times New Roman"/>
      <w:kern w:val="0"/>
      <w:sz w:val="28"/>
      <w:szCs w:val="24"/>
    </w:rPr>
  </w:style>
  <w:style w:type="character" w:customStyle="1" w:styleId="11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7"/>
    <w:link w:val="2"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1091</Characters>
  <Lines>11</Lines>
  <Paragraphs>3</Paragraphs>
  <TotalTime>0</TotalTime>
  <ScaleCrop>false</ScaleCrop>
  <LinksUpToDate>false</LinksUpToDate>
  <CharactersWithSpaces>1091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2020-09-29T10:12:00Z</dcterms:created>
  <dc:creator>lenovo</dc:creator>
  <cp:lastModifiedBy>童学舜</cp:lastModifiedBy>
  <cp:lastPrinted>2022-01-16T09:13:00Z</cp:lastPrinted>
  <dcterms:modified xsi:type="dcterms:W3CDTF">2023-02-24T00:45:59Z</dcterms:modified>
  <dc:title>附件3：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32CCAB4DF7AB4F9CB9CECF24A67036C0</vt:lpwstr>
  </property>
</Properties>
</file>