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创艺简标宋" w:hAnsi="华文中宋" w:eastAsia="创艺简标宋"/>
          <w:bCs/>
          <w:sz w:val="44"/>
        </w:rPr>
      </w:pPr>
      <w:r>
        <w:rPr>
          <w:rFonts w:hint="eastAsia" w:ascii="创艺简标宋" w:hAnsi="华文中宋" w:eastAsia="创艺简标宋"/>
          <w:bCs/>
          <w:sz w:val="40"/>
          <w:szCs w:val="40"/>
          <w:lang w:val="en-US" w:eastAsia="zh-CN"/>
        </w:rPr>
        <w:t>2017年衢州市级政府性基金决算草案说明</w:t>
      </w:r>
    </w:p>
    <w:p>
      <w:pPr>
        <w:snapToGrid w:val="0"/>
        <w:spacing w:line="600" w:lineRule="exact"/>
        <w:rPr>
          <w:rFonts w:ascii="创艺简标宋" w:hAnsi="华文中宋" w:eastAsia="创艺简标宋"/>
          <w:bCs/>
          <w:sz w:val="44"/>
        </w:rPr>
      </w:pPr>
    </w:p>
    <w:p>
      <w:pPr>
        <w:snapToGrid w:val="0"/>
        <w:spacing w:line="600" w:lineRule="exact"/>
        <w:ind w:firstLine="627" w:firstLineChars="196"/>
        <w:outlineLvl w:val="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</w:t>
      </w:r>
      <w:r>
        <w:rPr>
          <w:rFonts w:ascii="黑体" w:hAnsi="宋体" w:eastAsia="黑体"/>
          <w:color w:val="000000"/>
          <w:sz w:val="32"/>
          <w:szCs w:val="32"/>
        </w:rPr>
        <w:t>、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收支决算总体</w:t>
      </w:r>
      <w:r>
        <w:rPr>
          <w:rFonts w:hint="eastAsia" w:ascii="黑体" w:hAnsi="宋体" w:eastAsia="黑体"/>
          <w:color w:val="000000"/>
          <w:sz w:val="32"/>
          <w:szCs w:val="32"/>
        </w:rPr>
        <w:t>情况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  <w:lang w:eastAsia="zh-CN"/>
        </w:rPr>
        <w:t>政府性基金预算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975424</w:t>
      </w:r>
      <w:r>
        <w:rPr>
          <w:rFonts w:hint="eastAsia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</w:rPr>
        <w:t>元，加上转移性收入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94645万</w:t>
      </w:r>
      <w:r>
        <w:rPr>
          <w:rFonts w:hint="eastAsia" w:ascii="仿宋_GB2312" w:eastAsia="仿宋_GB2312"/>
          <w:sz w:val="32"/>
          <w:szCs w:val="32"/>
        </w:rPr>
        <w:t>元（其中：</w:t>
      </w:r>
      <w:r>
        <w:rPr>
          <w:rFonts w:hint="eastAsia" w:ascii="仿宋_GB2312" w:eastAsia="仿宋_GB2312"/>
          <w:sz w:val="32"/>
          <w:szCs w:val="32"/>
          <w:lang w:eastAsia="zh-CN"/>
        </w:rPr>
        <w:t>上级补助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4808万</w:t>
      </w:r>
      <w:r>
        <w:rPr>
          <w:rFonts w:hint="eastAsia" w:ascii="仿宋_GB2312" w:eastAsia="仿宋_GB2312"/>
          <w:sz w:val="32"/>
          <w:szCs w:val="32"/>
        </w:rPr>
        <w:t>元、</w:t>
      </w:r>
      <w:r>
        <w:rPr>
          <w:rFonts w:hint="eastAsia" w:ascii="仿宋_GB2312" w:eastAsia="仿宋_GB2312"/>
          <w:sz w:val="32"/>
          <w:szCs w:val="32"/>
          <w:lang w:eastAsia="zh-CN"/>
        </w:rPr>
        <w:t>上年结转结余收入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36837万元</w:t>
      </w:r>
      <w:r>
        <w:rPr>
          <w:rFonts w:hint="eastAsia" w:ascii="仿宋_GB2312" w:eastAsia="仿宋_GB2312"/>
          <w:sz w:val="32"/>
          <w:szCs w:val="32"/>
        </w:rPr>
        <w:t>、地方政府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债务转贷收入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53000万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），收入合计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1070069万元。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2017年市级政府性基金预算支出994705万元，加上转移性支出75364万元（其中：调出资金888万元、结转下年支出74476万元），支出合计1070069万元。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收支相抵，市级政府性基金收支平衡。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二、收入决算情况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2017年市级政府性基金预算收入975424万元，完成调整后预算的104%，增长128.2%。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收入分项目完成情况如下：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新型墙体材料专项基金收入379万元，增长191.5%。增长较快，主要原因是清理以前年度预收的新型墙体材料专项基金收入。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城市公用事业附加收入864万元，完成调整后预算的100%，下降61.3%，主要原因是自2017年4月1日起取消城市公用事业附加专项基金。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国有土地使用权出让金收入889918万元，完成调整后预算的100.6%，增长133.4%。增长较快，主要原因是市本级国有土地使用权出让价款较高。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国有土地收益基金收入29390万元，完成调整后预算的100%，增长140.4%。收入增加，主要原因是随国有土地使用权出让收入相应增长。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农业土地开发资金收入516万元，完成调整后预算的58.6%，下降10.1%。收入下降，主要原因是市本级国有土地使用权出让面积减少。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彩票公益金收入6108万元，完成调整后预算的101.8%，增长67.3%。收入增加，主要原因是销售福利彩票筹集的福利彩票公益金市级留成比例提高。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城市基础设施配套费收入4897万元，完成调整后预算的108.8%，下降30.3%。收入下降，主要原因是自2017年7月1日起城市基础设施配套费按现行收费标准的70%征收。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车辆通行费收入415万元，自2017年11月1日起车辆通行费转列政府性基金预算管理。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污水处理费收入4005万元，增长5.5%。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彩票发行机构和彩票销售机构的业务费用收入1436万元，增长2.4%。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其他政府性基金收入37496万元，完成预算的323.2%，增长146%。增长较快，主要原因是各县（市、区）缴库的土地调剂指标溢价部分资金增长。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支出决算情况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2017年市级政府性基金预算支出994705万元，完成调整后预算的100.1%，增长135.8%。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支出分项目完成情况如下：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社会保障和就业支出195万元，下降18.4%。支出下降，主要原因是省补资金减少。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城乡社区支出966742万元，完成调整后预算的100.7%，增长141.8%。增长较快，主要原因是当年国有土地出让金收入增长，使安排支出相应增加。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交通运输支出6374万元，完成预算的127.5%，增长347.6%。支出增加，主要原因是当年新增交通运输支出专项债券5000万元。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资源勘探信息等支出240万元，下降42.3%。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商业服务业等支出100万元。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其他支出11585万元，完成预算的40.2%，下降23.9%。支出下降，主要原因是政府性基金科目调整影响。</w:t>
      </w:r>
    </w:p>
    <w:p>
      <w:pPr>
        <w:tabs>
          <w:tab w:val="left" w:pos="787"/>
        </w:tabs>
        <w:jc w:val="left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＆#718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EE57E"/>
    <w:multiLevelType w:val="singleLevel"/>
    <w:tmpl w:val="5B3EE57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B3EE7C4"/>
    <w:multiLevelType w:val="singleLevel"/>
    <w:tmpl w:val="5B3EE7C4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B3EEAA0"/>
    <w:multiLevelType w:val="singleLevel"/>
    <w:tmpl w:val="5B3EEAA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62D7"/>
    <w:rsid w:val="199C1120"/>
    <w:rsid w:val="3B044069"/>
    <w:rsid w:val="50E2473B"/>
    <w:rsid w:val="6B3435DB"/>
    <w:rsid w:val="6EC8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admin-000</dc:creator>
  <cp:lastModifiedBy>孙科</cp:lastModifiedBy>
  <dcterms:modified xsi:type="dcterms:W3CDTF">2018-08-19T06:12:30Z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