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衢州市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2019年预算绩效工作开展情况说明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楷体_GB2312" w:hAnsi="黑体" w:eastAsia="楷体_GB2312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2019年，衢州市深入贯彻</w:t>
      </w:r>
      <w:bookmarkStart w:id="0" w:name="_GoBack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《中共中央国务院关于全面实施预算绩效管理的意见》（中发〔2018〕34号）精神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，积极开展全过程预算绩效管理的探索与实践，努力提高预算管理水平。2019年衢州市预算绩效工作开展情况如下：</w:t>
      </w:r>
    </w:p>
    <w:p>
      <w:pPr>
        <w:spacing w:line="56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强基础，构建预算绩效管理机制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提出我市全面推进预算绩效管理实施意见，提请市委市政府发文。该意见的出台，为构建符合我市实际的预算绩效管理体系提供了制度遵循。</w:t>
      </w:r>
      <w:bookmarkEnd w:id="0"/>
      <w:r>
        <w:rPr>
          <w:rFonts w:hint="eastAsia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方正小标宋简体" w:eastAsia="仿宋_GB2312"/>
          <w:sz w:val="32"/>
          <w:szCs w:val="32"/>
        </w:rPr>
        <w:t>制定我市《预算绩效管理三年行动计划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（2019-2021年</w:t>
      </w:r>
      <w:r>
        <w:rPr>
          <w:rFonts w:hint="eastAsia" w:ascii="方正小标宋简体" w:eastAsia="仿宋_GB2312"/>
          <w:sz w:val="32"/>
          <w:szCs w:val="32"/>
        </w:rPr>
        <w:t>）》，为我市全面实施预算绩效管理改革确定了时间表和路线图。</w:t>
      </w:r>
      <w:r>
        <w:rPr>
          <w:rFonts w:hint="eastAsia" w:ascii="方正小标宋简体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提请我局成立了全面落实预算绩效管理工作领导小组，为统筹协调全局预算绩效管理工作提供了组织保障。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根据绩效管理业务需求，将绩效自评和绩效运行监控纳入预算编制系统，为加快推进预算绩效管理提供了信息化支持。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方正小标宋简体" w:eastAsia="仿宋_GB2312"/>
          <w:sz w:val="32"/>
          <w:szCs w:val="32"/>
        </w:rPr>
        <w:t>预算绩效管理内控操作流程，从业务流程方面促进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预算与绩效管理一体化。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重创新，完善预算绩效管理链条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源头约束，规范绩效目标管理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组织并指导部门、单位编制</w:t>
      </w:r>
      <w:r>
        <w:rPr>
          <w:rFonts w:hint="eastAsia" w:ascii="仿宋_GB2312" w:eastAsia="仿宋_GB2312"/>
          <w:sz w:val="32"/>
          <w:szCs w:val="32"/>
        </w:rPr>
        <w:t>2019年预算项目绩效目标，抽取101个项目（涉及资金2.88亿元）进行重点监审，对83个绩效目标编制不规范的项目（涉及资金2.56亿元），制作问题整改清单，要求归口处室督促部门、单位进行调整完善，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进一步加强绩效目标规范性。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构</w:t>
      </w:r>
      <w:r>
        <w:rPr>
          <w:rFonts w:hint="eastAsia" w:ascii="仿宋_GB2312" w:eastAsia="仿宋_GB2312"/>
          <w:sz w:val="32"/>
          <w:szCs w:val="32"/>
        </w:rPr>
        <w:t>建80套</w:t>
      </w:r>
      <w:r>
        <w:rPr>
          <w:rFonts w:hint="eastAsia" w:ascii="仿宋_GB2312" w:eastAsia="仿宋_GB2312"/>
          <w:color w:val="000000"/>
          <w:sz w:val="32"/>
          <w:szCs w:val="32"/>
        </w:rPr>
        <w:t>分行业分领域的核心绩效指标，为部门编制2020年度预算绩效目标提供参考。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eastAsia="仿宋_GB2312"/>
          <w:color w:val="000000"/>
          <w:sz w:val="32"/>
          <w:szCs w:val="32"/>
        </w:rPr>
        <w:t>实施事前绩效评估试点。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如，</w:t>
      </w:r>
      <w:r>
        <w:rPr>
          <w:rFonts w:hint="eastAsia" w:ascii="仿宋_GB2312" w:eastAsia="仿宋_GB2312"/>
          <w:color w:val="000000"/>
          <w:sz w:val="32"/>
          <w:szCs w:val="32"/>
        </w:rPr>
        <w:t>市市场监督管理局围绕立项必要性、投入经济性、绩效目标合理性、实施方案可行性、筹资合规性等，对“衢州市国家粮食质量安全检验监测体系建设提升项目”开展事前绩效评估，为我市事前绩效评估积累了经验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</w:rPr>
        <w:t>事中监控，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促进绩效目标实现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二季度末和三季度末，两次组织部门、单位对2019年度政府性资金项目进行“双监控”（绩效目标实现程度和预算执行进度），指导部门、单位对绩效信息进行有效采集和分析，找准影响绩效目标实现的关键环节和关键点，提高监控针对性和目的性，较好地促进了绩效目标的实现。</w:t>
      </w:r>
    </w:p>
    <w:p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事后评价，注重多种形式融合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创新绩效自评工作。通过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完善绩效自评共性指标框架，简化绩效自评格式，提升部门、单位绩效工作质量和效率。将预算执行率和项目绩效自评结果挂钩，切实提高我市预算执行的结果应用力度。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在部门自评的基础上，按照10.57%的比例抽取192个项目实施再评价，涉及资金159460.45万元。</w:t>
      </w:r>
      <w:r>
        <w:rPr>
          <w:rFonts w:hint="eastAsia" w:eastAsia="仿宋_GB2312" w:cs="Times New Roman"/>
          <w:b/>
          <w:bCs/>
          <w:sz w:val="32"/>
          <w:szCs w:val="32"/>
        </w:rPr>
        <w:t>三是</w:t>
      </w:r>
      <w:r>
        <w:rPr>
          <w:rFonts w:hint="eastAsia" w:eastAsia="仿宋_GB2312" w:cs="Times New Roman"/>
          <w:bCs/>
          <w:sz w:val="32"/>
          <w:szCs w:val="32"/>
        </w:rPr>
        <w:t>扩大重点绩效评价覆盖面</w:t>
      </w:r>
      <w:r>
        <w:rPr>
          <w:rFonts w:hint="eastAsia" w:eastAsia="仿宋_GB2312" w:cs="Times New Roman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今年，共对12个涉及重点民生及社会关注度高的项目开展了重点评价，项目数较2018年增加了4个。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首次实施下级政府财政运行综合绩效评价和政府投资项目绩效评价。</w:t>
      </w:r>
    </w:p>
    <w:p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0"/>
        </w:rPr>
        <w:t>强化应用，做好结果反馈和公开</w:t>
      </w:r>
      <w:r>
        <w:rPr>
          <w:rFonts w:hint="eastAsia" w:ascii="楷体" w:hAnsi="楷体" w:eastAsia="楷体" w:cs="楷体"/>
          <w:b/>
          <w:bCs w:val="0"/>
          <w:sz w:val="32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0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0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重点评价整改意见反馈给被评价对象，并督促落实整改。今年重点评价涉及14个部门共12个项目，目前已反馈整改意见30条。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通报绩效目标动态监控情况，公开绩效自评、抽评及重点评价情况，同时向党委、人大、政府报告绩效评价结果。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提请市委市政府将各部门预算绩效管理工作纳入2019年度市级机关部门综合考核，制定考核细则，并组织实施考核。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强互动，高质量完成其他工作</w:t>
      </w:r>
    </w:p>
    <w:p>
      <w:pPr>
        <w:widowControl/>
        <w:spacing w:line="560" w:lineRule="exact"/>
        <w:ind w:firstLine="630" w:firstLineChars="196"/>
        <w:rPr>
          <w:rFonts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组织扶贫项目绩效自评、绩效目标填报工作。在部门绩效自评、绩效目标填报过程中，细心提供业务辅导，及时提醒对系统内数据指标进行核查纠偏，涉及其他资金金额6255万元、建档立卡贫困残疾人17.42万人次。</w:t>
      </w:r>
      <w:r>
        <w:rPr>
          <w:rFonts w:hint="eastAsia" w:eastAsia="仿宋_GB2312" w:cs="Times New Roman"/>
          <w:b/>
          <w:bCs/>
          <w:sz w:val="32"/>
          <w:szCs w:val="32"/>
        </w:rPr>
        <w:t>二是</w:t>
      </w:r>
      <w:r>
        <w:rPr>
          <w:rFonts w:hint="eastAsia" w:eastAsia="仿宋_GB2312" w:cs="Times New Roman"/>
          <w:sz w:val="32"/>
          <w:szCs w:val="32"/>
        </w:rPr>
        <w:t>加强部门间交流。邀请农业、经信、统计等部门座谈，探讨建立高质量发展的激励评价体系。三</w:t>
      </w:r>
      <w:r>
        <w:rPr>
          <w:rFonts w:hint="eastAsia" w:eastAsia="仿宋_GB2312" w:cs="Times New Roman"/>
          <w:b/>
          <w:bCs/>
          <w:sz w:val="32"/>
          <w:szCs w:val="32"/>
        </w:rPr>
        <w:t>是</w:t>
      </w:r>
      <w:r>
        <w:rPr>
          <w:rFonts w:hint="eastAsia" w:eastAsia="仿宋_GB2312" w:cs="Times New Roman"/>
          <w:sz w:val="32"/>
          <w:szCs w:val="32"/>
        </w:rPr>
        <w:t>配合省厅完成上下联评项目。按要求做好“彩票公益金与业务费专项资金”、“发展与改革专项资金”等评价项目涉及的报表资料收集整理、问题汇总和问卷调查工作，为全省联评提供数据支持。</w:t>
      </w:r>
      <w:r>
        <w:rPr>
          <w:rFonts w:hint="eastAsia" w:eastAsia="仿宋_GB2312" w:cs="Times New Roman"/>
          <w:b/>
          <w:bCs/>
          <w:sz w:val="32"/>
          <w:szCs w:val="32"/>
        </w:rPr>
        <w:t>四是</w:t>
      </w:r>
      <w:r>
        <w:rPr>
          <w:rFonts w:hint="eastAsia" w:eastAsia="仿宋_GB2312" w:cs="Times New Roman"/>
          <w:sz w:val="32"/>
          <w:szCs w:val="32"/>
        </w:rPr>
        <w:t>对省厅下发的各项制度办法征求意见稿，按要求认真提出改建议，并及时反馈。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717B8"/>
    <w:multiLevelType w:val="singleLevel"/>
    <w:tmpl w:val="992717B8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68F7"/>
    <w:rsid w:val="00020FA9"/>
    <w:rsid w:val="000540FD"/>
    <w:rsid w:val="00063E7A"/>
    <w:rsid w:val="000E48C1"/>
    <w:rsid w:val="000F6EF5"/>
    <w:rsid w:val="00100DD6"/>
    <w:rsid w:val="0011071E"/>
    <w:rsid w:val="00110CE2"/>
    <w:rsid w:val="0011707F"/>
    <w:rsid w:val="00146B94"/>
    <w:rsid w:val="001819C1"/>
    <w:rsid w:val="001E48BD"/>
    <w:rsid w:val="002209AC"/>
    <w:rsid w:val="0026204F"/>
    <w:rsid w:val="002B5961"/>
    <w:rsid w:val="002C062E"/>
    <w:rsid w:val="002D6743"/>
    <w:rsid w:val="003308C2"/>
    <w:rsid w:val="00330BEE"/>
    <w:rsid w:val="00357479"/>
    <w:rsid w:val="00380B78"/>
    <w:rsid w:val="00384077"/>
    <w:rsid w:val="00384B24"/>
    <w:rsid w:val="00397799"/>
    <w:rsid w:val="003A16B6"/>
    <w:rsid w:val="003D2561"/>
    <w:rsid w:val="00446540"/>
    <w:rsid w:val="00497F69"/>
    <w:rsid w:val="004A2E46"/>
    <w:rsid w:val="004B1B18"/>
    <w:rsid w:val="004C07A5"/>
    <w:rsid w:val="004D3AA3"/>
    <w:rsid w:val="00520CC2"/>
    <w:rsid w:val="00524C80"/>
    <w:rsid w:val="005265D6"/>
    <w:rsid w:val="005459C4"/>
    <w:rsid w:val="005522F1"/>
    <w:rsid w:val="00571DA9"/>
    <w:rsid w:val="00576F7E"/>
    <w:rsid w:val="00602E91"/>
    <w:rsid w:val="0062229C"/>
    <w:rsid w:val="006725DD"/>
    <w:rsid w:val="006732A1"/>
    <w:rsid w:val="006841B1"/>
    <w:rsid w:val="006A57B4"/>
    <w:rsid w:val="00702DC9"/>
    <w:rsid w:val="00733F42"/>
    <w:rsid w:val="007459FA"/>
    <w:rsid w:val="00751837"/>
    <w:rsid w:val="0075612B"/>
    <w:rsid w:val="00790FE6"/>
    <w:rsid w:val="007C127B"/>
    <w:rsid w:val="007D3FE8"/>
    <w:rsid w:val="0081717D"/>
    <w:rsid w:val="00827085"/>
    <w:rsid w:val="008553AB"/>
    <w:rsid w:val="008861B3"/>
    <w:rsid w:val="00893577"/>
    <w:rsid w:val="0089416E"/>
    <w:rsid w:val="008A121A"/>
    <w:rsid w:val="008F5280"/>
    <w:rsid w:val="00901201"/>
    <w:rsid w:val="00926E88"/>
    <w:rsid w:val="009350A8"/>
    <w:rsid w:val="0093687E"/>
    <w:rsid w:val="009414A8"/>
    <w:rsid w:val="009568F7"/>
    <w:rsid w:val="009D3D83"/>
    <w:rsid w:val="009E234F"/>
    <w:rsid w:val="00A12456"/>
    <w:rsid w:val="00A46C4F"/>
    <w:rsid w:val="00A50D70"/>
    <w:rsid w:val="00A85B9F"/>
    <w:rsid w:val="00A94F26"/>
    <w:rsid w:val="00AC0F02"/>
    <w:rsid w:val="00AF715C"/>
    <w:rsid w:val="00B21F35"/>
    <w:rsid w:val="00B2702A"/>
    <w:rsid w:val="00B332DC"/>
    <w:rsid w:val="00B55B42"/>
    <w:rsid w:val="00B63782"/>
    <w:rsid w:val="00B66D25"/>
    <w:rsid w:val="00B67073"/>
    <w:rsid w:val="00B7436A"/>
    <w:rsid w:val="00B76131"/>
    <w:rsid w:val="00B93876"/>
    <w:rsid w:val="00BC134E"/>
    <w:rsid w:val="00BE08B5"/>
    <w:rsid w:val="00BE3F48"/>
    <w:rsid w:val="00C0778E"/>
    <w:rsid w:val="00C32DD6"/>
    <w:rsid w:val="00C5715D"/>
    <w:rsid w:val="00C90F2E"/>
    <w:rsid w:val="00C9687C"/>
    <w:rsid w:val="00C970EE"/>
    <w:rsid w:val="00CC43A0"/>
    <w:rsid w:val="00CD23A6"/>
    <w:rsid w:val="00D028D1"/>
    <w:rsid w:val="00D12CF6"/>
    <w:rsid w:val="00D22CB3"/>
    <w:rsid w:val="00D245FE"/>
    <w:rsid w:val="00DC3C8B"/>
    <w:rsid w:val="00DE0A73"/>
    <w:rsid w:val="00E23183"/>
    <w:rsid w:val="00E33919"/>
    <w:rsid w:val="00E46F99"/>
    <w:rsid w:val="00E608B8"/>
    <w:rsid w:val="00E60C61"/>
    <w:rsid w:val="00E6668B"/>
    <w:rsid w:val="00EC65DE"/>
    <w:rsid w:val="00F0784D"/>
    <w:rsid w:val="00F46E95"/>
    <w:rsid w:val="00F810A4"/>
    <w:rsid w:val="00F8152E"/>
    <w:rsid w:val="00F92DAE"/>
    <w:rsid w:val="00FB2ECD"/>
    <w:rsid w:val="00FC09FB"/>
    <w:rsid w:val="00FF5B9E"/>
    <w:rsid w:val="0BE15247"/>
    <w:rsid w:val="0D734ED4"/>
    <w:rsid w:val="13AB11D8"/>
    <w:rsid w:val="22435AF2"/>
    <w:rsid w:val="28A46979"/>
    <w:rsid w:val="29A0744B"/>
    <w:rsid w:val="2D71488D"/>
    <w:rsid w:val="3613204B"/>
    <w:rsid w:val="362956C4"/>
    <w:rsid w:val="3A757937"/>
    <w:rsid w:val="3D972493"/>
    <w:rsid w:val="3DEF644A"/>
    <w:rsid w:val="47CE54D2"/>
    <w:rsid w:val="4A5504F4"/>
    <w:rsid w:val="4C222BB2"/>
    <w:rsid w:val="4F6D5B4A"/>
    <w:rsid w:val="53D63A78"/>
    <w:rsid w:val="572C37F0"/>
    <w:rsid w:val="598F3ABC"/>
    <w:rsid w:val="5CFA4210"/>
    <w:rsid w:val="68493F99"/>
    <w:rsid w:val="709C69C1"/>
    <w:rsid w:val="7E41439E"/>
    <w:rsid w:val="7E4D3502"/>
    <w:rsid w:val="7FC71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361</Words>
  <Characters>2059</Characters>
  <Lines>17</Lines>
  <Paragraphs>4</Paragraphs>
  <TotalTime>257</TotalTime>
  <ScaleCrop>false</ScaleCrop>
  <LinksUpToDate>false</LinksUpToDate>
  <CharactersWithSpaces>2416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Administrator.USER-20190429CK</dc:creator>
  <cp:lastModifiedBy>Administrator</cp:lastModifiedBy>
  <dcterms:modified xsi:type="dcterms:W3CDTF">2021-06-16T08:25:11Z</dcterms:modified>
  <dc:title>绩效管理处2019年工作总结和2020年工作思路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