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华文中宋" w:eastAsia="创艺简标宋"/>
          <w:bCs/>
          <w:sz w:val="40"/>
          <w:szCs w:val="40"/>
          <w:lang w:val="en-US" w:eastAsia="zh-CN"/>
        </w:rPr>
      </w:pPr>
      <w:r>
        <w:rPr>
          <w:rFonts w:hint="eastAsia" w:ascii="创艺简标宋" w:hAnsi="华文中宋" w:eastAsia="创艺简标宋"/>
          <w:bCs/>
          <w:sz w:val="40"/>
          <w:szCs w:val="40"/>
          <w:lang w:val="en-US" w:eastAsia="zh-CN"/>
        </w:rPr>
        <w:t>2017年衢州市级国有资本经营决算草案说明</w:t>
      </w:r>
    </w:p>
    <w:p>
      <w:pPr>
        <w:snapToGrid w:val="0"/>
        <w:spacing w:line="600" w:lineRule="exact"/>
        <w:rPr>
          <w:rFonts w:ascii="创艺简标宋" w:hAnsi="华文中宋" w:eastAsia="创艺简标宋"/>
          <w:bCs/>
          <w:sz w:val="44"/>
        </w:rPr>
      </w:pPr>
    </w:p>
    <w:p>
      <w:pPr>
        <w:snapToGrid w:val="0"/>
        <w:spacing w:line="600" w:lineRule="exact"/>
        <w:ind w:firstLine="627" w:firstLineChars="196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一</w:t>
      </w:r>
      <w:r>
        <w:rPr>
          <w:rFonts w:ascii="黑体" w:hAnsi="宋体" w:eastAsia="黑体"/>
          <w:color w:val="000000"/>
          <w:sz w:val="32"/>
          <w:szCs w:val="32"/>
        </w:rPr>
        <w:t>、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收支决算总体情况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</w:t>
      </w:r>
      <w:r>
        <w:rPr>
          <w:rFonts w:hint="eastAsia"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  <w:lang w:eastAsia="zh-CN"/>
        </w:rPr>
        <w:t>国有资本经营</w:t>
      </w:r>
      <w:r>
        <w:rPr>
          <w:rFonts w:hint="eastAsia" w:ascii="仿宋_GB2312" w:eastAsia="仿宋_GB2312"/>
          <w:sz w:val="32"/>
          <w:szCs w:val="32"/>
        </w:rPr>
        <w:t>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</w:t>
      </w:r>
      <w:r>
        <w:rPr>
          <w:rFonts w:hint="eastAsia" w:ascii="仿宋_GB2312" w:eastAsia="仿宋_GB2312"/>
          <w:sz w:val="32"/>
          <w:szCs w:val="32"/>
          <w:lang w:eastAsia="zh-CN"/>
        </w:rPr>
        <w:t>万元，收支相抵，市级国有资本经营收支平衡。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二、收入决算情况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2017年市级国有资本经营预算收入103万元，完成预算的100%，增长71.7%。其中：利润收入103万元。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，市级国有企业共31户，均纳入2017年市级国有资本经营预算编制范围，其中：净利润20万元以上的国有企业有3户，分别为衢州市顺达公路养护工程有限公司、市建设工程质量监督站检测中心和浙江衢州安邦护卫有限公司，3户企业共实现净利润1030万元，按照净利润的10%计103万元上交市财政作为市级国有资本经营预算收入。</w:t>
      </w:r>
    </w:p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支出决算情况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2017年市级国有资本经营预算支出103万元，完成预算的100%，增长71.7%。其中：其他国有资本经营预算支出103万元，均投入市级国有企业重点项目建设。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＆#718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EF35E"/>
    <w:multiLevelType w:val="singleLevel"/>
    <w:tmpl w:val="5B3EF35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53C99"/>
    <w:rsid w:val="20CF63C3"/>
    <w:rsid w:val="260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admin-000</dc:creator>
  <cp:lastModifiedBy>孙科</cp:lastModifiedBy>
  <dcterms:modified xsi:type="dcterms:W3CDTF">2018-08-19T06:13:24Z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