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衢州市财政局</w:t>
      </w:r>
      <w:r>
        <w:rPr>
          <w:rFonts w:hint="eastAsia" w:ascii="方正小标宋简体" w:hAnsi="方正小标宋简体" w:eastAsia="方正小标宋简体" w:cs="方正小标宋简体"/>
          <w:bCs/>
          <w:spacing w:val="15"/>
          <w:sz w:val="44"/>
          <w:szCs w:val="44"/>
          <w:highlight w:val="none"/>
          <w:lang w:val="en-US" w:eastAsia="zh-CN"/>
        </w:rPr>
        <w:t>(本级)2022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10"/>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目录</w:t>
      </w:r>
    </w:p>
    <w:p>
      <w:pPr>
        <w:pStyle w:val="2"/>
        <w:rPr>
          <w:rStyle w:val="10"/>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10"/>
          <w:rFonts w:hint="eastAsia" w:ascii="黑体" w:eastAsia="黑体"/>
          <w:b w:val="0"/>
          <w:color w:val="000000"/>
          <w:sz w:val="32"/>
          <w:szCs w:val="32"/>
          <w:highlight w:val="none"/>
          <w:lang w:eastAsia="zh-CN"/>
        </w:rPr>
        <w:t>单位</w:t>
      </w:r>
      <w:r>
        <w:rPr>
          <w:rStyle w:val="10"/>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rPr>
      </w:pP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2022</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lang w:eastAsia="zh-CN"/>
        </w:rPr>
        <w:t>衢州市财政局（本级）</w:t>
      </w:r>
      <w:r>
        <w:rPr>
          <w:rStyle w:val="10"/>
          <w:rFonts w:hint="eastAsia" w:ascii="黑体" w:eastAsia="黑体"/>
          <w:b w:val="0"/>
          <w:color w:val="000000"/>
          <w:sz w:val="32"/>
          <w:szCs w:val="32"/>
          <w:highlight w:val="none"/>
        </w:rPr>
        <w:t>预算安排情况说明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firstLine="320" w:firstLineChars="1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9"/>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hAnsi="Calibri" w:eastAsia="黑体" w:cs="Times New Roman"/>
          <w:b w:val="0"/>
          <w:color w:val="000000"/>
          <w:kern w:val="2"/>
          <w:sz w:val="32"/>
          <w:szCs w:val="32"/>
          <w:highlight w:val="none"/>
          <w:lang w:val="en-US" w:eastAsia="zh-CN" w:bidi="ar-SA"/>
        </w:rPr>
      </w:pPr>
      <w:r>
        <w:rPr>
          <w:rStyle w:val="10"/>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四、</w:t>
      </w:r>
      <w:r>
        <w:rPr>
          <w:rStyle w:val="10"/>
          <w:rFonts w:hint="eastAsia" w:ascii="黑体" w:eastAsia="黑体"/>
          <w:b w:val="0"/>
          <w:color w:val="000000"/>
          <w:sz w:val="32"/>
          <w:szCs w:val="32"/>
          <w:highlight w:val="none"/>
          <w:lang w:val="en-US" w:eastAsia="zh-CN"/>
        </w:rPr>
        <w:t>2022</w:t>
      </w:r>
      <w:r>
        <w:rPr>
          <w:rStyle w:val="10"/>
          <w:rFonts w:hint="eastAsia" w:ascii="黑体" w:eastAsia="黑体"/>
          <w:b w:val="0"/>
          <w:color w:val="000000"/>
          <w:sz w:val="32"/>
          <w:szCs w:val="32"/>
          <w:highlight w:val="none"/>
        </w:rPr>
        <w:t>年</w:t>
      </w:r>
      <w:r>
        <w:rPr>
          <w:rFonts w:hint="eastAsia" w:ascii="楷体_GB2312" w:hAnsi="楷体_GB2312" w:eastAsia="楷体_GB2312" w:cs="楷体_GB2312"/>
          <w:b w:val="0"/>
          <w:bCs/>
          <w:sz w:val="32"/>
          <w:szCs w:val="32"/>
          <w:highlight w:val="none"/>
          <w:lang w:eastAsia="zh-CN"/>
        </w:rPr>
        <w:t>衢州市财政局（本级）</w:t>
      </w:r>
      <w:r>
        <w:rPr>
          <w:rStyle w:val="10"/>
          <w:rFonts w:hint="eastAsia" w:ascii="黑体" w:eastAsia="黑体"/>
          <w:b w:val="0"/>
          <w:color w:val="000000"/>
          <w:sz w:val="32"/>
          <w:szCs w:val="32"/>
          <w:highlight w:val="none"/>
          <w:lang w:eastAsia="zh-CN"/>
        </w:rPr>
        <w:t>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政府性基金预算支出表</w:t>
      </w:r>
    </w:p>
    <w:p>
      <w:pPr>
        <w:pStyle w:val="2"/>
        <w:rPr>
          <w:rFonts w:hint="default"/>
          <w:lang w:val="en-US" w:eastAsia="zh-CN"/>
        </w:rPr>
      </w:pPr>
      <w:r>
        <w:rPr>
          <w:rFonts w:hint="eastAsia" w:ascii="楷体_GB2312" w:hAnsi="楷体_GB2312" w:eastAsia="楷体_GB2312" w:cs="楷体_GB2312"/>
          <w:b w:val="0"/>
          <w:bCs/>
          <w:sz w:val="32"/>
          <w:szCs w:val="32"/>
          <w:highlight w:val="none"/>
          <w:lang w:val="en-US" w:eastAsia="zh-CN"/>
        </w:rPr>
        <w:t xml:space="preserve">   （九）2022年市级部门（单位）国有资本经营预算支出表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（十）2022年市级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r>
        <w:rPr>
          <w:rStyle w:val="10"/>
          <w:rFonts w:hint="eastAsia" w:ascii="黑体" w:eastAsia="黑体"/>
          <w:b w:val="0"/>
          <w:color w:val="000000"/>
          <w:sz w:val="32"/>
          <w:szCs w:val="32"/>
          <w:highlight w:val="none"/>
        </w:rPr>
        <w:t>一、</w:t>
      </w:r>
      <w:r>
        <w:rPr>
          <w:rStyle w:val="10"/>
          <w:rFonts w:hint="eastAsia" w:ascii="黑体" w:eastAsia="黑体"/>
          <w:b w:val="0"/>
          <w:color w:val="000000"/>
          <w:sz w:val="32"/>
          <w:szCs w:val="32"/>
          <w:highlight w:val="none"/>
          <w:lang w:eastAsia="zh-CN"/>
        </w:rPr>
        <w:t>单位</w:t>
      </w:r>
      <w:r>
        <w:rPr>
          <w:rStyle w:val="10"/>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w:t>
      </w:r>
      <w:r>
        <w:rPr>
          <w:rFonts w:eastAsia="仿宋_GB2312"/>
          <w:color w:val="000000"/>
          <w:spacing w:val="10"/>
          <w:sz w:val="32"/>
          <w:szCs w:val="32"/>
        </w:rPr>
        <w:t>拟订全市财税发展规划、政策和改革方案并组织实施。分析预测宏观经济形势，参与制定有关宏观经济政策，提出贯彻国家宏观调控政策的建议。拟订和执行财政分配政策，完善鼓励公益事业发展的财税政策。</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2、</w:t>
      </w:r>
      <w:r>
        <w:rPr>
          <w:rFonts w:eastAsia="仿宋_GB2312"/>
          <w:color w:val="000000"/>
          <w:spacing w:val="10"/>
          <w:sz w:val="32"/>
          <w:szCs w:val="32"/>
        </w:rPr>
        <w:t>贯彻执行国家的财政、税收、财务、会计、行政事业单位国有资产管理等法律、法规和方针、政策。起草财政、税收、财务、会计管理等规范性文件并组织实施。监督财税法规、政策的执行情况。</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3、</w:t>
      </w:r>
      <w:r>
        <w:rPr>
          <w:rFonts w:eastAsia="仿宋_GB2312"/>
          <w:color w:val="000000"/>
          <w:spacing w:val="10"/>
          <w:sz w:val="32"/>
          <w:szCs w:val="32"/>
        </w:rPr>
        <w:t>负责各项财政收支管理。编制全市年度预决算草案并组织执行。组织制定经费开支标准、定额，审核批复部门</w:t>
      </w:r>
      <w:r>
        <w:rPr>
          <w:rFonts w:hint="eastAsia" w:eastAsia="仿宋_GB2312"/>
          <w:color w:val="000000"/>
          <w:spacing w:val="10"/>
          <w:sz w:val="32"/>
          <w:szCs w:val="32"/>
        </w:rPr>
        <w:t>（</w:t>
      </w:r>
      <w:r>
        <w:rPr>
          <w:rFonts w:eastAsia="仿宋_GB2312"/>
          <w:color w:val="000000"/>
          <w:spacing w:val="10"/>
          <w:sz w:val="32"/>
          <w:szCs w:val="32"/>
        </w:rPr>
        <w:t>单位</w:t>
      </w:r>
      <w:r>
        <w:rPr>
          <w:rFonts w:hint="eastAsia" w:eastAsia="仿宋_GB2312"/>
          <w:color w:val="000000"/>
          <w:spacing w:val="10"/>
          <w:sz w:val="32"/>
          <w:szCs w:val="32"/>
        </w:rPr>
        <w:t>）</w:t>
      </w:r>
      <w:r>
        <w:rPr>
          <w:rFonts w:eastAsia="仿宋_GB2312"/>
          <w:color w:val="000000"/>
          <w:spacing w:val="10"/>
          <w:sz w:val="32"/>
          <w:szCs w:val="32"/>
        </w:rPr>
        <w:t>的年度预决算。受市政府委托，向市人大报告全市和市本级预算及执行情况，向市人大常委会报告决算。负责政府投资基金财政出资的预算管理和国有资产管理。负责市本级预决算公开。指导全市乡镇财政工作。</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4、</w:t>
      </w:r>
      <w:r>
        <w:rPr>
          <w:rFonts w:eastAsia="仿宋_GB2312"/>
          <w:color w:val="000000"/>
          <w:spacing w:val="10"/>
          <w:sz w:val="32"/>
          <w:szCs w:val="32"/>
        </w:rPr>
        <w:t>按分工负责政府非税收入管理。负责政府性基金管理，按规定管理行政事业性收费。管理财政票据。按规定管理彩票资金。负责统一公共支付平台建设和应用推广。</w:t>
      </w:r>
    </w:p>
    <w:p>
      <w:pPr>
        <w:keepNext w:val="0"/>
        <w:keepLines w:val="0"/>
        <w:pageBreakBefore w:val="0"/>
        <w:kinsoku/>
        <w:wordWrap/>
        <w:overflowPunct/>
        <w:topLinePunct w:val="0"/>
        <w:bidi w:val="0"/>
        <w:spacing w:line="560" w:lineRule="exact"/>
        <w:ind w:firstLine="751" w:firstLineChars="221"/>
        <w:textAlignment w:val="auto"/>
        <w:rPr>
          <w:rFonts w:eastAsia="仿宋_GB2312"/>
          <w:color w:val="000000"/>
          <w:spacing w:val="10"/>
          <w:sz w:val="32"/>
          <w:szCs w:val="32"/>
        </w:rPr>
      </w:pPr>
      <w:r>
        <w:rPr>
          <w:rFonts w:hint="eastAsia" w:eastAsia="仿宋_GB2312"/>
          <w:color w:val="000000"/>
          <w:spacing w:val="10"/>
          <w:sz w:val="32"/>
          <w:szCs w:val="32"/>
          <w:lang w:val="en-US" w:eastAsia="zh-CN"/>
        </w:rPr>
        <w:t>5、</w:t>
      </w:r>
      <w:r>
        <w:rPr>
          <w:rFonts w:eastAsia="仿宋_GB2312"/>
          <w:color w:val="000000"/>
          <w:spacing w:val="10"/>
          <w:sz w:val="32"/>
          <w:szCs w:val="32"/>
        </w:rPr>
        <w:t>组织制定国库管理制度、国库集中收付制度，指导和监督国库业务，按规定开展国库现金管理。组织制定财政专户、预算单位账户及资金存放管理制度。负责市级财政预算会计核算与管理。负责编制全市财政决</w:t>
      </w:r>
      <w:r>
        <w:rPr>
          <w:rFonts w:hint="eastAsia" w:eastAsia="仿宋_GB2312"/>
          <w:color w:val="000000"/>
          <w:spacing w:val="10"/>
          <w:sz w:val="32"/>
          <w:szCs w:val="32"/>
        </w:rPr>
        <w:t>算</w:t>
      </w:r>
      <w:r>
        <w:rPr>
          <w:rFonts w:eastAsia="仿宋_GB2312"/>
          <w:color w:val="000000"/>
          <w:spacing w:val="10"/>
          <w:sz w:val="32"/>
          <w:szCs w:val="32"/>
        </w:rPr>
        <w:t>、部门决算、权责发生制政府财务报告。</w:t>
      </w:r>
    </w:p>
    <w:p>
      <w:pPr>
        <w:keepNext w:val="0"/>
        <w:keepLines w:val="0"/>
        <w:pageBreakBefore w:val="0"/>
        <w:kinsoku/>
        <w:wordWrap/>
        <w:overflowPunct/>
        <w:topLinePunct w:val="0"/>
        <w:bidi w:val="0"/>
        <w:spacing w:line="560" w:lineRule="exact"/>
        <w:ind w:firstLine="751" w:firstLineChars="221"/>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6、</w:t>
      </w:r>
      <w:r>
        <w:rPr>
          <w:rFonts w:eastAsia="仿宋_GB2312"/>
          <w:color w:val="000000"/>
          <w:spacing w:val="10"/>
          <w:sz w:val="32"/>
          <w:szCs w:val="32"/>
        </w:rPr>
        <w:t>负责全市政府采购监督管理。负责市本级政府采购事务。建立统一的电子化政府采购管理和交易平台。负责政府采购对外事务。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eastAsia="仿宋_GB2312"/>
          <w:color w:val="000000"/>
          <w:spacing w:val="10"/>
          <w:sz w:val="32"/>
          <w:szCs w:val="32"/>
          <w:lang w:val="en-US" w:eastAsia="zh-CN"/>
        </w:rPr>
        <w:t>7、</w:t>
      </w:r>
      <w:r>
        <w:rPr>
          <w:rFonts w:eastAsia="仿宋_GB2312"/>
          <w:color w:val="000000"/>
          <w:spacing w:val="10"/>
          <w:sz w:val="32"/>
          <w:szCs w:val="32"/>
        </w:rPr>
        <w:t>负责管理政府内外债。负责管理地方政府债务，防范和化解地方政府债务风险。负责地方政府债券发行工作。归口管理国际金融组织和外国政府的贷（赠）款业务。</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8、</w:t>
      </w:r>
      <w:r>
        <w:rPr>
          <w:rFonts w:hAnsi="仿宋_GB2312" w:eastAsia="仿宋_GB2312" w:cs="仿宋_GB2312"/>
          <w:color w:val="000000"/>
          <w:spacing w:val="10"/>
          <w:sz w:val="32"/>
          <w:szCs w:val="32"/>
        </w:rPr>
        <w:t>牵头编制国有资产管理情况报告。根据市政府授权，集中统一履行市属国有金融资本出资人职责，代表市政府对相关企业履行出资人职责。拟订行政事业性资产管理制度并组织实施。</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hAnsi="仿宋_GB2312" w:eastAsia="仿宋_GB2312" w:cs="仿宋_GB2312"/>
          <w:color w:val="000000"/>
          <w:spacing w:val="10"/>
          <w:sz w:val="32"/>
          <w:szCs w:val="32"/>
          <w:lang w:val="en-US" w:eastAsia="zh-CN"/>
        </w:rPr>
        <w:t>9、</w:t>
      </w:r>
      <w:r>
        <w:rPr>
          <w:rFonts w:hAnsi="仿宋_GB2312" w:eastAsia="仿宋_GB2312" w:cs="仿宋_GB2312"/>
          <w:color w:val="000000"/>
          <w:spacing w:val="10"/>
          <w:sz w:val="32"/>
          <w:szCs w:val="32"/>
        </w:rPr>
        <w:t>负责汇总和编制国有资本经营预决算草案。制定国有资本经营预算的制度和办法，收取市本级企业国有资本收益。制定并组织实施企业财务制度。参与</w:t>
      </w:r>
      <w:r>
        <w:rPr>
          <w:rFonts w:eastAsia="仿宋_GB2312"/>
          <w:color w:val="000000"/>
          <w:spacing w:val="10"/>
          <w:sz w:val="32"/>
          <w:szCs w:val="32"/>
        </w:rPr>
        <w:t>拟订企业国有资产管理相关制度。</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10、</w:t>
      </w:r>
      <w:r>
        <w:rPr>
          <w:rFonts w:eastAsia="仿宋_GB2312"/>
          <w:color w:val="000000"/>
          <w:spacing w:val="10"/>
          <w:sz w:val="32"/>
          <w:szCs w:val="32"/>
        </w:rPr>
        <w:t>按权限负责社会保险基金管理。负责汇总和编制全市和市本级社会保险基金预决算草案，制定社会保险基金财政补助政策和财务会计管理制度，参与拟订社会保障政策，管理市级各项社会保障支出。</w:t>
      </w:r>
    </w:p>
    <w:p>
      <w:pPr>
        <w:keepNext w:val="0"/>
        <w:keepLines w:val="0"/>
        <w:pageBreakBefore w:val="0"/>
        <w:numPr>
          <w:ilvl w:val="0"/>
          <w:numId w:val="0"/>
        </w:numPr>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11、</w:t>
      </w:r>
      <w:r>
        <w:rPr>
          <w:rFonts w:eastAsia="仿宋_GB2312"/>
          <w:color w:val="000000"/>
          <w:spacing w:val="10"/>
          <w:sz w:val="32"/>
          <w:szCs w:val="32"/>
        </w:rPr>
        <w:t>负责办理和监督市本级财政的经济发展支出。负责编制市级政府投资</w:t>
      </w:r>
      <w:r>
        <w:rPr>
          <w:rFonts w:hint="eastAsia" w:eastAsia="仿宋_GB2312"/>
          <w:color w:val="000000"/>
          <w:spacing w:val="10"/>
          <w:sz w:val="32"/>
          <w:szCs w:val="32"/>
        </w:rPr>
        <w:t>预算</w:t>
      </w:r>
      <w:r>
        <w:rPr>
          <w:rFonts w:eastAsia="仿宋_GB2312"/>
          <w:color w:val="000000"/>
          <w:spacing w:val="10"/>
          <w:sz w:val="32"/>
          <w:szCs w:val="32"/>
        </w:rPr>
        <w:t>和重大投资项目资金安排表。制定基本建设财务管理制度，负责有关政策性补贴和专项储备资金财政管理工作。</w:t>
      </w:r>
    </w:p>
    <w:p>
      <w:pPr>
        <w:keepNext w:val="0"/>
        <w:keepLines w:val="0"/>
        <w:pageBreakBefore w:val="0"/>
        <w:kinsoku/>
        <w:wordWrap/>
        <w:overflowPunct/>
        <w:topLinePunct w:val="0"/>
        <w:bidi w:val="0"/>
        <w:spacing w:line="560" w:lineRule="exact"/>
        <w:ind w:firstLine="640"/>
        <w:textAlignment w:val="auto"/>
        <w:rPr>
          <w:rFonts w:eastAsia="仿宋_GB2312"/>
          <w:color w:val="000000"/>
          <w:spacing w:val="10"/>
          <w:sz w:val="32"/>
          <w:szCs w:val="32"/>
        </w:rPr>
      </w:pPr>
      <w:r>
        <w:rPr>
          <w:rFonts w:hint="eastAsia" w:eastAsia="仿宋_GB2312"/>
          <w:color w:val="000000"/>
          <w:spacing w:val="10"/>
          <w:sz w:val="32"/>
          <w:szCs w:val="32"/>
          <w:lang w:val="en-US" w:eastAsia="zh-CN"/>
        </w:rPr>
        <w:t>12、</w:t>
      </w:r>
      <w:r>
        <w:rPr>
          <w:rFonts w:eastAsia="仿宋_GB2312"/>
          <w:color w:val="000000"/>
          <w:spacing w:val="10"/>
          <w:sz w:val="32"/>
          <w:szCs w:val="32"/>
        </w:rPr>
        <w:t>负责实施预算绩效管理。建立预算绩效管理体系，组织实施事前绩效评估</w:t>
      </w:r>
      <w:r>
        <w:rPr>
          <w:rFonts w:hint="eastAsia" w:eastAsia="仿宋_GB2312"/>
          <w:color w:val="000000"/>
          <w:spacing w:val="10"/>
          <w:sz w:val="32"/>
          <w:szCs w:val="32"/>
        </w:rPr>
        <w:t>、</w:t>
      </w:r>
      <w:r>
        <w:rPr>
          <w:rFonts w:eastAsia="仿宋_GB2312"/>
          <w:color w:val="000000"/>
          <w:spacing w:val="10"/>
          <w:sz w:val="32"/>
          <w:szCs w:val="32"/>
        </w:rPr>
        <w:t>绩效目标管理、绩效监控和绩效评价</w:t>
      </w:r>
      <w:r>
        <w:rPr>
          <w:rFonts w:eastAsia="仿宋_GB2312"/>
          <w:spacing w:val="10"/>
          <w:sz w:val="32"/>
          <w:szCs w:val="32"/>
        </w:rPr>
        <w:t>。</w:t>
      </w:r>
    </w:p>
    <w:p>
      <w:pPr>
        <w:keepNext w:val="0"/>
        <w:keepLines w:val="0"/>
        <w:pageBreakBefore w:val="0"/>
        <w:kinsoku/>
        <w:wordWrap/>
        <w:overflowPunct/>
        <w:topLinePunct w:val="0"/>
        <w:bidi w:val="0"/>
        <w:spacing w:line="560" w:lineRule="exact"/>
        <w:ind w:firstLine="680" w:firstLineChars="200"/>
        <w:textAlignment w:val="auto"/>
        <w:rPr>
          <w:rFonts w:eastAsia="仿宋_GB2312" w:cs="仿宋_GB2312"/>
          <w:color w:val="000000"/>
          <w:spacing w:val="10"/>
          <w:sz w:val="32"/>
          <w:szCs w:val="32"/>
        </w:rPr>
      </w:pPr>
      <w:r>
        <w:rPr>
          <w:rFonts w:hint="eastAsia" w:hAnsi="仿宋_GB2312" w:eastAsia="仿宋_GB2312" w:cs="仿宋_GB2312"/>
          <w:color w:val="000000"/>
          <w:spacing w:val="10"/>
          <w:sz w:val="32"/>
          <w:szCs w:val="32"/>
          <w:lang w:val="en-US" w:eastAsia="zh-CN"/>
        </w:rPr>
        <w:t>13、</w:t>
      </w:r>
      <w:r>
        <w:rPr>
          <w:rFonts w:hAnsi="仿宋_GB2312" w:eastAsia="仿宋_GB2312" w:cs="仿宋_GB2312"/>
          <w:color w:val="000000"/>
          <w:spacing w:val="10"/>
          <w:sz w:val="32"/>
          <w:szCs w:val="32"/>
        </w:rPr>
        <w:t>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p>
    <w:p>
      <w:pPr>
        <w:keepNext w:val="0"/>
        <w:keepLines w:val="0"/>
        <w:pageBreakBefore w:val="0"/>
        <w:kinsoku/>
        <w:wordWrap/>
        <w:overflowPunct/>
        <w:topLinePunct w:val="0"/>
        <w:bidi w:val="0"/>
        <w:spacing w:line="560" w:lineRule="exact"/>
        <w:ind w:firstLine="680" w:firstLineChars="200"/>
        <w:textAlignment w:val="auto"/>
        <w:rPr>
          <w:rFonts w:eastAsia="仿宋_GB2312"/>
          <w:color w:val="000000"/>
          <w:spacing w:val="10"/>
          <w:sz w:val="32"/>
          <w:szCs w:val="32"/>
        </w:rPr>
      </w:pPr>
      <w:r>
        <w:rPr>
          <w:rFonts w:hint="eastAsia" w:eastAsia="仿宋_GB2312"/>
          <w:color w:val="000000"/>
          <w:spacing w:val="10"/>
          <w:sz w:val="32"/>
          <w:szCs w:val="32"/>
          <w:lang w:val="en-US" w:eastAsia="zh-CN"/>
        </w:rPr>
        <w:t>14、</w:t>
      </w:r>
      <w:r>
        <w:rPr>
          <w:rFonts w:eastAsia="仿宋_GB2312"/>
          <w:color w:val="000000"/>
          <w:spacing w:val="10"/>
          <w:sz w:val="32"/>
          <w:szCs w:val="32"/>
        </w:rPr>
        <w:t>完成市委、市政府交办的其他</w:t>
      </w:r>
      <w:r>
        <w:rPr>
          <w:rFonts w:hint="eastAsia" w:eastAsia="仿宋_GB2312"/>
          <w:color w:val="000000"/>
          <w:spacing w:val="10"/>
          <w:sz w:val="32"/>
          <w:szCs w:val="32"/>
        </w:rPr>
        <w:t>任务</w:t>
      </w:r>
      <w:r>
        <w:rPr>
          <w:rFonts w:eastAsia="仿宋_GB2312"/>
          <w:color w:val="000000"/>
          <w:spacing w:val="10"/>
          <w:sz w:val="32"/>
          <w:szCs w:val="32"/>
        </w:rPr>
        <w:t>。</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val="0"/>
        <w:spacing w:line="560" w:lineRule="exact"/>
        <w:ind w:right="0" w:rightChars="0" w:firstLine="627" w:firstLineChars="196"/>
        <w:textAlignment w:val="auto"/>
        <w:outlineLvl w:val="9"/>
        <w:rPr>
          <w:rFonts w:hint="eastAsia" w:ascii="仿宋_GB2312" w:eastAsia="仿宋_GB2312"/>
          <w:bCs/>
          <w:sz w:val="32"/>
          <w:szCs w:val="32"/>
          <w:highlight w:val="none"/>
          <w:lang w:eastAsia="zh-CN"/>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eastAsia="zh-CN"/>
        </w:rPr>
        <w:t>衢州市财政局（本级）单位</w:t>
      </w:r>
      <w:r>
        <w:rPr>
          <w:rFonts w:hint="eastAsia" w:ascii="仿宋_GB2312" w:eastAsia="仿宋_GB2312"/>
          <w:bCs/>
          <w:sz w:val="32"/>
          <w:szCs w:val="32"/>
          <w:highlight w:val="none"/>
        </w:rPr>
        <w:t>预算包括：</w:t>
      </w:r>
      <w:r>
        <w:rPr>
          <w:rFonts w:hint="eastAsia" w:ascii="仿宋_GB2312" w:eastAsia="仿宋_GB2312"/>
          <w:bCs/>
          <w:sz w:val="32"/>
          <w:szCs w:val="32"/>
          <w:highlight w:val="none"/>
          <w:lang w:eastAsia="zh-CN"/>
        </w:rPr>
        <w:t>办公室、财政政研室、政策法规处、预算局、地方政府债务管理办公室、预算执行局、综合处、会计处、教科文处、行政事业资产管理处、农业处（基层财政管理处）、企业处（金融处）、社会保障处、行政政法处、资源环境处、财政监督局、绩效管理处、政府采购监管处、人事教育处、机关党委</w:t>
      </w:r>
      <w:r>
        <w:rPr>
          <w:rFonts w:hint="eastAsia" w:ascii="仿宋_GB2312" w:eastAsia="仿宋_GB2312"/>
          <w:bCs/>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eastAsia="zh-CN"/>
        </w:rPr>
      </w:pP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2022</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lang w:eastAsia="zh-CN"/>
        </w:rPr>
        <w:t>衢州市财政局（本级）</w:t>
      </w:r>
      <w:r>
        <w:rPr>
          <w:rStyle w:val="10"/>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10"/>
          <w:rFonts w:hint="eastAsia" w:ascii="楷体_GB2312" w:hAnsi="楷体_GB2312" w:eastAsia="楷体_GB2312" w:cs="楷体_GB2312"/>
          <w:b w:val="0"/>
          <w:bCs w:val="0"/>
          <w:color w:val="000000"/>
          <w:sz w:val="32"/>
          <w:szCs w:val="32"/>
          <w:highlight w:val="none"/>
          <w:lang w:eastAsia="zh-CN"/>
        </w:rPr>
        <w:t>衢州市财政局（本级）</w:t>
      </w:r>
      <w:r>
        <w:rPr>
          <w:rStyle w:val="10"/>
          <w:rFonts w:hint="eastAsia" w:ascii="楷体_GB2312" w:hAnsi="楷体_GB2312" w:eastAsia="楷体_GB2312" w:cs="楷体_GB2312"/>
          <w:b w:val="0"/>
          <w:bCs w:val="0"/>
          <w:color w:val="000000"/>
          <w:sz w:val="32"/>
          <w:szCs w:val="32"/>
          <w:highlight w:val="none"/>
          <w:lang w:val="en-US" w:eastAsia="zh-CN"/>
        </w:rPr>
        <w:t>2022</w:t>
      </w:r>
      <w:r>
        <w:rPr>
          <w:rStyle w:val="10"/>
          <w:rFonts w:hint="eastAsia" w:ascii="楷体_GB2312" w:hAnsi="楷体_GB2312" w:eastAsia="楷体_GB2312" w:cs="楷体_GB2312"/>
          <w:b w:val="0"/>
          <w:bCs w:val="0"/>
          <w:color w:val="000000"/>
          <w:sz w:val="32"/>
          <w:szCs w:val="32"/>
          <w:highlight w:val="none"/>
        </w:rPr>
        <w:t>年</w:t>
      </w:r>
      <w:r>
        <w:rPr>
          <w:rStyle w:val="10"/>
          <w:rFonts w:hint="eastAsia" w:ascii="楷体_GB2312" w:hAnsi="楷体_GB2312" w:eastAsia="楷体_GB2312" w:cs="楷体_GB2312"/>
          <w:b w:val="0"/>
          <w:bCs w:val="0"/>
          <w:color w:val="000000"/>
          <w:sz w:val="32"/>
          <w:szCs w:val="32"/>
          <w:highlight w:val="none"/>
          <w:lang w:eastAsia="zh-CN"/>
        </w:rPr>
        <w:t>收支预算情况的总体说明</w:t>
      </w:r>
      <w:r>
        <w:rPr>
          <w:rFonts w:hint="eastAsia" w:ascii="楷体_GB2312" w:hAnsi="楷体_GB2312" w:eastAsia="楷体_GB2312" w:cs="楷体_GB2312"/>
          <w:b/>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衢州市财政局（本级）所有收入和支出均纳入</w:t>
      </w:r>
      <w:r>
        <w:rPr>
          <w:rFonts w:hint="eastAsia" w:ascii="仿宋_GB2312" w:eastAsia="仿宋_GB2312"/>
          <w:color w:val="000000"/>
          <w:sz w:val="32"/>
          <w:szCs w:val="32"/>
          <w:highlight w:val="none"/>
          <w:lang w:val="en-US" w:eastAsia="zh-CN"/>
        </w:rPr>
        <w:t>单位</w:t>
      </w:r>
      <w:r>
        <w:rPr>
          <w:rFonts w:hint="eastAsia" w:ascii="仿宋_GB2312" w:eastAsia="仿宋_GB2312"/>
          <w:color w:val="000000"/>
          <w:sz w:val="32"/>
          <w:szCs w:val="32"/>
          <w:highlight w:val="none"/>
          <w:lang w:eastAsia="zh-CN"/>
        </w:rPr>
        <w:t>预算管理。收入包括：一般公共预算拨款收入、事业收入（不含专户资金）、其他收入；支出包括：一般公共服务支出、社会保障和就业支出、住房保障支出。衢州市财政局（本级）</w:t>
      </w:r>
      <w:r>
        <w:rPr>
          <w:rFonts w:hint="eastAsia" w:ascii="仿宋_GB2312" w:eastAsia="仿宋_GB2312"/>
          <w:color w:val="000000"/>
          <w:sz w:val="32"/>
          <w:szCs w:val="32"/>
          <w:highlight w:val="none"/>
          <w:lang w:val="en-US" w:eastAsia="zh-CN"/>
        </w:rPr>
        <w:t>2022年收支总预</w:t>
      </w:r>
      <w:r>
        <w:rPr>
          <w:rFonts w:hint="eastAsia" w:ascii="仿宋_GB2312" w:eastAsia="仿宋_GB2312"/>
          <w:color w:val="auto"/>
          <w:sz w:val="32"/>
          <w:szCs w:val="32"/>
          <w:highlight w:val="none"/>
          <w:lang w:val="en-US" w:eastAsia="zh-CN"/>
        </w:rPr>
        <w:t>算5935.69</w:t>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0"/>
        <w:textAlignment w:val="auto"/>
        <w:outlineLvl w:val="9"/>
        <w:rPr>
          <w:rFonts w:hint="default" w:ascii="仿宋_GB2312" w:eastAsia="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年收入</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5935.69</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359.36万元，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长6.45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主要是人员数量调整。</w:t>
      </w:r>
    </w:p>
    <w:p>
      <w:pPr>
        <w:keepNext w:val="0"/>
        <w:keepLines w:val="0"/>
        <w:pageBreakBefore w:val="0"/>
        <w:numPr>
          <w:ilvl w:val="0"/>
          <w:numId w:val="0"/>
        </w:numPr>
        <w:kinsoku/>
        <w:wordWrap/>
        <w:overflowPunct/>
        <w:topLinePunct w:val="0"/>
        <w:autoSpaceDE/>
        <w:autoSpaceDN/>
        <w:bidi w:val="0"/>
        <w:adjustRightInd/>
        <w:snapToGrid/>
        <w:spacing w:beforeLines="0" w:afterLines="0" w:line="58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5660.69</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95.36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151</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2.55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124</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2.09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5935.69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比上年执行数增加</w:t>
      </w:r>
      <w:r>
        <w:rPr>
          <w:rFonts w:hint="eastAsia" w:ascii="仿宋_GB2312" w:hAnsi="仿宋_GB2312" w:eastAsia="仿宋_GB2312" w:cs="仿宋_GB2312"/>
          <w:color w:val="000000"/>
          <w:sz w:val="32"/>
          <w:szCs w:val="32"/>
          <w:highlight w:val="none"/>
          <w:lang w:val="en-US" w:eastAsia="zh-CN"/>
        </w:rPr>
        <w:t>359.36万元，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lang w:val="en-US" w:eastAsia="zh-CN"/>
        </w:rPr>
        <w:t>长6.45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主要是因数字化改革需要，项目经费有所增加。</w:t>
      </w:r>
    </w:p>
    <w:p>
      <w:pPr>
        <w:keepNext w:val="0"/>
        <w:keepLines w:val="0"/>
        <w:pageBreakBefore w:val="0"/>
        <w:numPr>
          <w:ilvl w:val="0"/>
          <w:numId w:val="1"/>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4992.14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533.99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409.56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4371.98</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73.66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387.71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6.54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1176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19.80</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textAlignment w:val="auto"/>
        <w:outlineLvl w:val="9"/>
        <w:rPr>
          <w:rFonts w:hint="default" w:ascii="仿宋_GB2312" w:eastAsia="仿宋_GB2312"/>
          <w:color w:val="FF0000"/>
          <w:sz w:val="32"/>
          <w:szCs w:val="32"/>
          <w:highlight w:val="none"/>
          <w:lang w:val="en-US"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eastAsia="仿宋_GB2312"/>
          <w:color w:val="000000"/>
          <w:sz w:val="32"/>
          <w:szCs w:val="32"/>
          <w:highlight w:val="none"/>
          <w:lang w:val="en-US" w:eastAsia="zh-CN"/>
        </w:rPr>
        <w:t>2022年财政拨款收支总预算5660.69万元。收入包括：一般公共预算5660.69万元；支出包括：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4717.14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533.99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409.56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beforeLines="0" w:afterLines="0" w:line="56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000000"/>
          <w:sz w:val="32"/>
          <w:szCs w:val="32"/>
          <w:highlight w:val="none"/>
          <w:lang w:val="en-US" w:eastAsia="zh-CN"/>
        </w:rPr>
        <w:t>2022年一般公共预算当年拨款5660.69万元，比上年执行数增加739.89万元，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15.04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auto"/>
          <w:sz w:val="32"/>
          <w:szCs w:val="32"/>
          <w:highlight w:val="none"/>
          <w:lang w:val="en-US" w:eastAsia="zh-CN"/>
        </w:rPr>
        <w:t>主要是数字化改革需要，项目经费有所增加。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lang w:val="en-US" w:eastAsia="zh-CN"/>
        </w:rPr>
        <w:t>4717.14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83.34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val="en-US" w:eastAsia="zh-CN"/>
        </w:rPr>
        <w:t>533.99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9.44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；住房保障（类）支出</w:t>
      </w:r>
      <w:r>
        <w:rPr>
          <w:rFonts w:hint="eastAsia" w:ascii="仿宋_GB2312" w:hAnsi="仿宋_GB2312" w:eastAsia="仿宋_GB2312" w:cs="仿宋_GB2312"/>
          <w:color w:val="000000"/>
          <w:sz w:val="32"/>
          <w:szCs w:val="32"/>
          <w:highlight w:val="none"/>
          <w:lang w:val="en-US" w:eastAsia="zh-CN"/>
        </w:rPr>
        <w:t>409.56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7.22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200"/>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rPr>
          <w:rFonts w:hint="eastAsia" w:ascii="仿宋_GB2312" w:eastAsia="仿宋_GB2312"/>
          <w:bCs/>
          <w:sz w:val="32"/>
          <w:szCs w:val="32"/>
        </w:rPr>
      </w:pPr>
      <w:r>
        <w:rPr>
          <w:rFonts w:hint="eastAsia" w:ascii="仿宋_GB2312" w:eastAsia="仿宋_GB2312"/>
          <w:bCs/>
          <w:sz w:val="32"/>
          <w:szCs w:val="32"/>
        </w:rPr>
        <w:t>（1）一般公共服务支出（类）财政事务（款）行政运行（项）</w:t>
      </w:r>
      <w:r>
        <w:rPr>
          <w:rFonts w:hint="default" w:ascii="仿宋_GB2312" w:eastAsia="仿宋_GB2312"/>
          <w:bCs/>
          <w:sz w:val="32"/>
          <w:szCs w:val="32"/>
          <w:lang w:val="en" w:eastAsia="zh-CN"/>
        </w:rPr>
        <w:t>3874.97</w:t>
      </w:r>
      <w:r>
        <w:rPr>
          <w:rFonts w:hint="eastAsia" w:ascii="仿宋_GB2312" w:eastAsia="仿宋_GB2312"/>
          <w:bCs/>
          <w:sz w:val="32"/>
          <w:szCs w:val="32"/>
        </w:rPr>
        <w:t>万元，主要用于局本级及下属实行公务员管理事业单位的基本支出。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eastAsia="仿宋_GB2312"/>
          <w:bCs/>
          <w:color w:val="000000"/>
          <w:sz w:val="32"/>
          <w:szCs w:val="32"/>
          <w:lang w:eastAsia="zh-CN"/>
        </w:rPr>
      </w:pPr>
      <w:r>
        <w:rPr>
          <w:rFonts w:hint="eastAsia" w:ascii="仿宋_GB2312" w:eastAsia="仿宋_GB2312"/>
          <w:bCs/>
          <w:sz w:val="32"/>
          <w:szCs w:val="32"/>
        </w:rPr>
        <w:t>（2）一般公共服务支出（类）财政事务（款）</w:t>
      </w:r>
      <w:r>
        <w:rPr>
          <w:rFonts w:hint="eastAsia" w:ascii="仿宋_GB2312" w:eastAsia="仿宋_GB2312"/>
          <w:bCs/>
          <w:sz w:val="32"/>
          <w:szCs w:val="32"/>
          <w:lang w:eastAsia="zh-CN"/>
        </w:rPr>
        <w:t>信息化建设</w:t>
      </w:r>
      <w:r>
        <w:rPr>
          <w:rFonts w:hint="eastAsia" w:ascii="仿宋_GB2312" w:eastAsia="仿宋_GB2312"/>
          <w:bCs/>
          <w:sz w:val="32"/>
          <w:szCs w:val="32"/>
        </w:rPr>
        <w:t>（项）</w:t>
      </w:r>
      <w:r>
        <w:rPr>
          <w:rFonts w:hint="eastAsia" w:ascii="仿宋_GB2312" w:eastAsia="仿宋_GB2312"/>
          <w:bCs/>
          <w:sz w:val="32"/>
          <w:szCs w:val="32"/>
          <w:lang w:val="en-US" w:eastAsia="zh-CN"/>
        </w:rPr>
        <w:t>338</w:t>
      </w:r>
      <w:r>
        <w:rPr>
          <w:rFonts w:hint="eastAsia" w:ascii="仿宋_GB2312" w:eastAsia="仿宋_GB2312"/>
          <w:bCs/>
          <w:sz w:val="32"/>
          <w:szCs w:val="32"/>
        </w:rPr>
        <w:t>万</w:t>
      </w:r>
      <w:r>
        <w:rPr>
          <w:rFonts w:hint="eastAsia" w:ascii="仿宋_GB2312" w:eastAsia="仿宋_GB2312"/>
          <w:bCs/>
          <w:color w:val="000000"/>
          <w:sz w:val="32"/>
          <w:szCs w:val="32"/>
        </w:rPr>
        <w:t>元，主要用于</w:t>
      </w:r>
      <w:r>
        <w:rPr>
          <w:rFonts w:hint="eastAsia" w:ascii="仿宋_GB2312" w:eastAsia="仿宋_GB2312"/>
          <w:bCs/>
          <w:color w:val="000000"/>
          <w:sz w:val="32"/>
          <w:szCs w:val="32"/>
          <w:lang w:eastAsia="zh-CN"/>
        </w:rPr>
        <w:t>数字财政相关业务支出。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eastAsia="仿宋_GB2312"/>
          <w:bCs/>
          <w:color w:val="000000"/>
          <w:sz w:val="32"/>
          <w:szCs w:val="32"/>
          <w:lang w:eastAsia="zh-CN"/>
        </w:rPr>
      </w:pP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）一般公共服务支出（类）财政事务（款）</w:t>
      </w:r>
      <w:r>
        <w:rPr>
          <w:rFonts w:hint="eastAsia" w:ascii="仿宋_GB2312" w:eastAsia="仿宋_GB2312"/>
          <w:bCs/>
          <w:color w:val="000000"/>
          <w:sz w:val="32"/>
          <w:szCs w:val="32"/>
          <w:lang w:eastAsia="zh-CN"/>
        </w:rPr>
        <w:t>财政委托业务支出</w:t>
      </w:r>
      <w:r>
        <w:rPr>
          <w:rFonts w:hint="eastAsia" w:ascii="仿宋_GB2312" w:eastAsia="仿宋_GB2312"/>
          <w:bCs/>
          <w:color w:val="000000"/>
          <w:sz w:val="32"/>
          <w:szCs w:val="32"/>
        </w:rPr>
        <w:t>（项）</w:t>
      </w:r>
      <w:r>
        <w:rPr>
          <w:rFonts w:hint="eastAsia" w:ascii="仿宋_GB2312" w:eastAsia="仿宋_GB2312"/>
          <w:bCs/>
          <w:color w:val="000000"/>
          <w:sz w:val="32"/>
          <w:szCs w:val="32"/>
          <w:lang w:val="en-US" w:eastAsia="zh-CN"/>
        </w:rPr>
        <w:t>90.00</w:t>
      </w:r>
      <w:r>
        <w:rPr>
          <w:rFonts w:hint="eastAsia" w:ascii="仿宋_GB2312" w:eastAsia="仿宋_GB2312"/>
          <w:bCs/>
          <w:color w:val="000000"/>
          <w:sz w:val="32"/>
          <w:szCs w:val="32"/>
        </w:rPr>
        <w:t>万元，主要用于局本级</w:t>
      </w:r>
      <w:r>
        <w:rPr>
          <w:rFonts w:hint="eastAsia" w:ascii="仿宋_GB2312" w:eastAsia="仿宋_GB2312"/>
          <w:bCs/>
          <w:color w:val="000000"/>
          <w:sz w:val="32"/>
          <w:szCs w:val="32"/>
          <w:lang w:eastAsia="zh-CN"/>
        </w:rPr>
        <w:t>财政监督及绩效评价业务支出。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4</w:t>
      </w:r>
      <w:r>
        <w:rPr>
          <w:rFonts w:hint="eastAsia" w:ascii="仿宋_GB2312" w:eastAsia="仿宋_GB2312"/>
          <w:bCs/>
          <w:sz w:val="32"/>
          <w:szCs w:val="32"/>
        </w:rPr>
        <w:t>）一般公共服务支出（类）财政事务（款）其他财政事务支出（项）</w:t>
      </w:r>
      <w:r>
        <w:rPr>
          <w:rFonts w:hint="eastAsia" w:ascii="仿宋_GB2312" w:eastAsia="仿宋_GB2312"/>
          <w:bCs/>
          <w:sz w:val="32"/>
          <w:szCs w:val="32"/>
          <w:lang w:val="en-US" w:eastAsia="zh-CN"/>
        </w:rPr>
        <w:t>473.00</w:t>
      </w:r>
      <w:r>
        <w:rPr>
          <w:rFonts w:hint="eastAsia" w:ascii="仿宋_GB2312" w:eastAsia="仿宋_GB2312"/>
          <w:bCs/>
          <w:sz w:val="32"/>
          <w:szCs w:val="32"/>
        </w:rPr>
        <w:t>万元，主要用于财政票据成本等资料印刷、会计管理及单位会计培训等支出。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（5）社会保障和就业支出（类）行政事业单位养老支出（款）机关事业单位基本养老保险缴费支出（项）</w:t>
      </w:r>
      <w:r>
        <w:rPr>
          <w:rFonts w:hint="eastAsia" w:ascii="仿宋_GB2312" w:eastAsia="仿宋_GB2312"/>
          <w:bCs/>
          <w:sz w:val="32"/>
          <w:szCs w:val="32"/>
          <w:lang w:val="en-US" w:eastAsia="zh-CN"/>
        </w:rPr>
        <w:t>210.42</w:t>
      </w:r>
      <w:r>
        <w:rPr>
          <w:rFonts w:hint="eastAsia" w:ascii="仿宋_GB2312" w:eastAsia="仿宋_GB2312"/>
          <w:bCs/>
          <w:sz w:val="32"/>
          <w:szCs w:val="32"/>
        </w:rPr>
        <w:t>万元，主要用于局本级和局属事业单位实施养老保险制度由单位缴纳的基本养老保险费支出。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（6）社会保障和就业支出（类）行政事业单位养老支出（款）机关事业单位职业年金缴费支出（项）</w:t>
      </w:r>
      <w:r>
        <w:rPr>
          <w:rFonts w:hint="eastAsia" w:ascii="仿宋_GB2312" w:eastAsia="仿宋_GB2312"/>
          <w:bCs/>
          <w:sz w:val="32"/>
          <w:szCs w:val="32"/>
          <w:lang w:val="en-US" w:eastAsia="zh-CN"/>
        </w:rPr>
        <w:t>105.21</w:t>
      </w:r>
      <w:r>
        <w:rPr>
          <w:rFonts w:hint="eastAsia" w:ascii="仿宋_GB2312" w:eastAsia="仿宋_GB2312"/>
          <w:bCs/>
          <w:sz w:val="32"/>
          <w:szCs w:val="32"/>
        </w:rPr>
        <w:t>万元，主要用于局本级和局属事业单位实施养老保险制度为由单位实际缴纳的职业年金支出。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（7）社会保障和就业支出（类）行政事业单位养老支出（款）其他行政事业单位</w:t>
      </w:r>
      <w:r>
        <w:rPr>
          <w:rFonts w:hint="eastAsia" w:ascii="仿宋_GB2312" w:eastAsia="仿宋_GB2312"/>
          <w:bCs/>
          <w:sz w:val="32"/>
          <w:szCs w:val="32"/>
          <w:lang w:eastAsia="zh-CN"/>
        </w:rPr>
        <w:t>养老</w:t>
      </w:r>
      <w:r>
        <w:rPr>
          <w:rFonts w:hint="eastAsia" w:ascii="仿宋_GB2312" w:eastAsia="仿宋_GB2312"/>
          <w:bCs/>
          <w:sz w:val="32"/>
          <w:szCs w:val="32"/>
        </w:rPr>
        <w:t>支出（项）</w:t>
      </w:r>
      <w:r>
        <w:rPr>
          <w:rFonts w:hint="eastAsia" w:ascii="仿宋_GB2312" w:eastAsia="仿宋_GB2312"/>
          <w:bCs/>
          <w:sz w:val="32"/>
          <w:szCs w:val="32"/>
          <w:lang w:val="en-US" w:eastAsia="zh-CN"/>
        </w:rPr>
        <w:t>139.52</w:t>
      </w:r>
      <w:r>
        <w:rPr>
          <w:rFonts w:hint="eastAsia" w:ascii="仿宋_GB2312" w:eastAsia="仿宋_GB2312"/>
          <w:bCs/>
          <w:sz w:val="32"/>
          <w:szCs w:val="32"/>
        </w:rPr>
        <w:t>万元，主要用于局本级和局属事业单位离休干部经费。</w:t>
      </w:r>
    </w:p>
    <w:p>
      <w:pPr>
        <w:pStyle w:val="2"/>
        <w:keepNext w:val="0"/>
        <w:keepLines w:val="0"/>
        <w:pageBreakBefore w:val="0"/>
        <w:kinsoku/>
        <w:wordWrap/>
        <w:overflowPunct/>
        <w:topLinePunct w:val="0"/>
        <w:bidi w:val="0"/>
        <w:spacing w:line="560" w:lineRule="exact"/>
        <w:textAlignment w:val="auto"/>
        <w:rPr>
          <w:rFonts w:hint="default" w:eastAsia="仿宋_GB2312"/>
          <w:lang w:val="en-US" w:eastAsia="zh-CN"/>
        </w:rPr>
      </w:pPr>
      <w:r>
        <w:rPr>
          <w:rFonts w:hint="eastAsia"/>
          <w:bCs/>
          <w:sz w:val="32"/>
          <w:szCs w:val="32"/>
          <w:lang w:val="en-US" w:eastAsia="zh-CN"/>
        </w:rPr>
        <w:t xml:space="preserve">    （8）</w:t>
      </w:r>
      <w:r>
        <w:rPr>
          <w:rFonts w:hint="eastAsia" w:ascii="仿宋_GB2312" w:eastAsia="仿宋_GB2312"/>
          <w:bCs/>
          <w:sz w:val="32"/>
          <w:szCs w:val="32"/>
        </w:rPr>
        <w:t>社会保障和就业支出（类）</w:t>
      </w:r>
      <w:r>
        <w:rPr>
          <w:rFonts w:hint="eastAsia"/>
          <w:bCs/>
          <w:sz w:val="32"/>
          <w:szCs w:val="32"/>
          <w:lang w:eastAsia="zh-CN"/>
        </w:rPr>
        <w:t>财政对其他社会保险基金的补助</w:t>
      </w:r>
      <w:r>
        <w:rPr>
          <w:rFonts w:hint="eastAsia" w:ascii="仿宋_GB2312" w:eastAsia="仿宋_GB2312"/>
          <w:bCs/>
          <w:sz w:val="32"/>
          <w:szCs w:val="32"/>
        </w:rPr>
        <w:t>（款）其他</w:t>
      </w:r>
      <w:r>
        <w:rPr>
          <w:rFonts w:hint="eastAsia"/>
          <w:bCs/>
          <w:sz w:val="32"/>
          <w:szCs w:val="32"/>
          <w:lang w:eastAsia="zh-CN"/>
        </w:rPr>
        <w:t>财政对社会保险基金的补助</w:t>
      </w:r>
      <w:r>
        <w:rPr>
          <w:rFonts w:hint="eastAsia" w:ascii="仿宋_GB2312" w:eastAsia="仿宋_GB2312"/>
          <w:bCs/>
          <w:sz w:val="32"/>
          <w:szCs w:val="32"/>
        </w:rPr>
        <w:t>（项）</w:t>
      </w:r>
      <w:r>
        <w:rPr>
          <w:rFonts w:hint="eastAsia"/>
          <w:bCs/>
          <w:sz w:val="32"/>
          <w:szCs w:val="32"/>
          <w:lang w:val="en-US" w:eastAsia="zh-CN"/>
        </w:rPr>
        <w:t>78.84</w:t>
      </w:r>
      <w:r>
        <w:rPr>
          <w:rFonts w:hint="eastAsia" w:ascii="仿宋_GB2312" w:eastAsia="仿宋_GB2312"/>
          <w:bCs/>
          <w:sz w:val="32"/>
          <w:szCs w:val="32"/>
        </w:rPr>
        <w:t>万元，主要用于局本级和局属事业单位</w:t>
      </w:r>
      <w:r>
        <w:rPr>
          <w:rFonts w:hint="eastAsia"/>
          <w:bCs/>
          <w:sz w:val="32"/>
          <w:szCs w:val="32"/>
          <w:lang w:eastAsia="zh-CN"/>
        </w:rPr>
        <w:t>公务员医疗补助费用支出</w:t>
      </w:r>
      <w:r>
        <w:rPr>
          <w:rFonts w:hint="eastAsia" w:ascii="仿宋_GB2312" w:eastAsia="仿宋_GB2312"/>
          <w:bCs/>
          <w:sz w:val="32"/>
          <w:szCs w:val="32"/>
        </w:rPr>
        <w:t>。</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w:t>
      </w:r>
      <w:r>
        <w:rPr>
          <w:rFonts w:hint="eastAsia" w:ascii="仿宋_GB2312" w:eastAsia="仿宋_GB2312"/>
          <w:bCs/>
          <w:sz w:val="32"/>
          <w:szCs w:val="32"/>
          <w:lang w:val="en-US" w:eastAsia="zh-CN"/>
        </w:rPr>
        <w:t>9</w:t>
      </w:r>
      <w:r>
        <w:rPr>
          <w:rFonts w:hint="eastAsia" w:ascii="仿宋_GB2312" w:eastAsia="仿宋_GB2312"/>
          <w:bCs/>
          <w:sz w:val="32"/>
          <w:szCs w:val="32"/>
        </w:rPr>
        <w:t>）住房保障支出（类）住房改革支出（款）住房公积金（项）</w:t>
      </w:r>
      <w:r>
        <w:rPr>
          <w:rFonts w:hint="eastAsia" w:ascii="仿宋_GB2312" w:eastAsia="仿宋_GB2312"/>
          <w:bCs/>
          <w:sz w:val="32"/>
          <w:szCs w:val="32"/>
          <w:lang w:val="en-US" w:eastAsia="zh-CN"/>
        </w:rPr>
        <w:t>409.56</w:t>
      </w:r>
      <w:r>
        <w:rPr>
          <w:rFonts w:hint="eastAsia" w:ascii="仿宋_GB2312" w:eastAsia="仿宋_GB2312"/>
          <w:bCs/>
          <w:sz w:val="32"/>
          <w:szCs w:val="32"/>
        </w:rPr>
        <w:t>万元 ,主要用于局本级和局属事业单位按照国家政策规定为干部职工缴纳的住房公积金支出。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eastAsia="仿宋_GB2312"/>
          <w:color w:val="000000"/>
          <w:sz w:val="32"/>
          <w:szCs w:val="32"/>
          <w:highlight w:val="none"/>
          <w:lang w:val="en-US" w:eastAsia="zh-CN"/>
        </w:rPr>
        <w:t>2022</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4759.69万元，其中：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4371.98</w:t>
      </w:r>
      <w:r>
        <w:rPr>
          <w:rFonts w:hint="eastAsia" w:ascii="仿宋_GB2312" w:eastAsia="仿宋_GB2312" w:cs="Times New Roman"/>
          <w:b w:val="0"/>
          <w:color w:val="000000"/>
          <w:sz w:val="32"/>
          <w:szCs w:val="32"/>
          <w:highlight w:val="none"/>
          <w:lang w:val="en-US" w:eastAsia="zh-CN"/>
        </w:rPr>
        <w:t>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奖励金、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387.71</w:t>
      </w:r>
      <w:r>
        <w:rPr>
          <w:rFonts w:hint="eastAsia" w:ascii="仿宋_GB2312" w:eastAsia="仿宋_GB2312" w:cs="Times New Roman"/>
          <w:b w:val="0"/>
          <w:color w:val="000000"/>
          <w:sz w:val="32"/>
          <w:szCs w:val="32"/>
          <w:highlight w:val="none"/>
          <w:lang w:val="en-US" w:eastAsia="zh-CN"/>
        </w:rPr>
        <w:t>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000000"/>
          <w:sz w:val="32"/>
          <w:szCs w:val="32"/>
          <w:highlight w:val="none"/>
          <w:lang w:val="en-US" w:eastAsia="zh-CN"/>
        </w:rPr>
        <w:t>2022年没有使用政府性基金预算拨款安排的支出。</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t>衢州市财政局（本级）</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6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（九）关于衢州市财政局（本级）</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napToGrid/>
        <w:spacing w:beforeLines="0" w:afterLines="0" w:line="56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35</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比上年执行数增加16.69万元，增长91.16%</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2</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eastAsia="zh-CN"/>
        </w:rPr>
        <w:t>执行数增长</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rPr>
        <w:t>主要用于机关及下属预算单位人员的国际合作交流、培训等公务出国（境）的国际旅费、国外城市间交通费、住宿费、伙食费、培训费、公杂费等支出。</w:t>
      </w:r>
      <w:r>
        <w:rPr>
          <w:rFonts w:hint="eastAsia" w:ascii="仿宋_GB2312" w:hAnsi="仿宋_GB2312" w:eastAsia="仿宋_GB2312" w:cs="仿宋_GB2312"/>
          <w:color w:val="000000"/>
          <w:sz w:val="32"/>
          <w:szCs w:val="32"/>
        </w:rPr>
        <w:t>增加的主要原因是</w:t>
      </w:r>
      <w:r>
        <w:rPr>
          <w:rFonts w:hint="eastAsia" w:ascii="仿宋_GB2312" w:eastAsia="仿宋_GB2312"/>
          <w:color w:val="000000"/>
          <w:sz w:val="32"/>
          <w:szCs w:val="32"/>
          <w:lang w:eastAsia="zh-CN"/>
        </w:rPr>
        <w:t>受新冠肺炎疫情影响，</w:t>
      </w:r>
      <w:r>
        <w:rPr>
          <w:rFonts w:hint="eastAsia" w:ascii="仿宋_GB2312" w:eastAsia="仿宋_GB2312"/>
          <w:color w:val="000000"/>
          <w:sz w:val="32"/>
          <w:szCs w:val="32"/>
          <w:lang w:val="en-US" w:eastAsia="zh-CN"/>
        </w:rPr>
        <w:t>2021年该项目未发生支出</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right="0" w:righ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9.5</w:t>
      </w:r>
      <w:r>
        <w:rPr>
          <w:rFonts w:hint="eastAsia" w:ascii="仿宋_GB2312" w:hAnsi="仿宋_GB2312" w:eastAsia="仿宋_GB2312" w:cs="仿宋_GB2312"/>
          <w:sz w:val="32"/>
          <w:szCs w:val="32"/>
          <w:highlight w:val="none"/>
        </w:rPr>
        <w:t>万元，比上年</w:t>
      </w:r>
      <w:r>
        <w:rPr>
          <w:rFonts w:hint="eastAsia" w:ascii="仿宋_GB2312" w:hAnsi="仿宋_GB2312" w:eastAsia="仿宋_GB2312" w:cs="仿宋_GB2312"/>
          <w:sz w:val="32"/>
          <w:szCs w:val="32"/>
          <w:highlight w:val="none"/>
          <w:lang w:eastAsia="zh-CN"/>
        </w:rPr>
        <w:t>执行数增长</w:t>
      </w:r>
      <w:r>
        <w:rPr>
          <w:rFonts w:hint="eastAsia" w:ascii="仿宋_GB2312" w:hAnsi="仿宋_GB2312" w:eastAsia="仿宋_GB2312" w:cs="仿宋_GB2312"/>
          <w:sz w:val="32"/>
          <w:szCs w:val="32"/>
          <w:highlight w:val="none"/>
          <w:lang w:val="en-US" w:eastAsia="zh-CN"/>
        </w:rPr>
        <w:t>6.03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主要用于</w:t>
      </w:r>
      <w:r>
        <w:rPr>
          <w:rFonts w:hint="eastAsia" w:ascii="仿宋_GB2312" w:eastAsia="仿宋_GB2312"/>
          <w:bCs/>
          <w:sz w:val="32"/>
          <w:szCs w:val="32"/>
        </w:rPr>
        <w:t>上级部门、兄弟市（县、市）相关业务部门来衢进行检查、考核、工作指导、交流、政策调研及市场主体来衢考察、洽谈项目合作等公务活动接待支出</w:t>
      </w:r>
      <w:r>
        <w:rPr>
          <w:rFonts w:hint="eastAsia" w:ascii="仿宋_GB2312" w:eastAsia="仿宋_GB2312"/>
          <w:bCs/>
          <w:sz w:val="32"/>
          <w:szCs w:val="32"/>
          <w:lang w:eastAsia="zh-CN"/>
        </w:rPr>
        <w:t>，增长的主要原因是受新冠肺炎疫情影响，</w:t>
      </w:r>
      <w:r>
        <w:rPr>
          <w:rFonts w:hint="eastAsia" w:ascii="仿宋_GB2312" w:eastAsia="仿宋_GB2312"/>
          <w:bCs/>
          <w:sz w:val="32"/>
          <w:szCs w:val="32"/>
          <w:lang w:val="en-US" w:eastAsia="zh-CN"/>
        </w:rPr>
        <w:t>2021年该项支出较少，基数较低。</w:t>
      </w:r>
    </w:p>
    <w:p>
      <w:pPr>
        <w:pStyle w:val="19"/>
        <w:keepNext w:val="0"/>
        <w:keepLines w:val="0"/>
        <w:pageBreakBefore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eastAsia" w:ascii="仿宋_GB2312" w:eastAsia="仿宋_GB2312"/>
          <w:b/>
          <w:bCs/>
          <w:color w:val="000000"/>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23.5</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执行数增长</w:t>
      </w:r>
      <w:r>
        <w:rPr>
          <w:rFonts w:hint="eastAsia" w:ascii="仿宋_GB2312" w:eastAsia="仿宋_GB2312"/>
          <w:sz w:val="32"/>
          <w:szCs w:val="32"/>
          <w:highlight w:val="none"/>
          <w:lang w:val="en-US" w:eastAsia="zh-CN"/>
        </w:rPr>
        <w:t>151.34</w:t>
      </w:r>
      <w:r>
        <w:rPr>
          <w:rFonts w:hint="eastAsia" w:ascii="仿宋_GB2312" w:eastAsia="仿宋_GB2312"/>
          <w:sz w:val="32"/>
          <w:szCs w:val="32"/>
          <w:highlight w:val="none"/>
        </w:rPr>
        <w:t>%。其中，公务用车购置支出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eastAsia="zh-CN"/>
        </w:rPr>
        <w:t>与上年执行数持平</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未安排预算</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23.5</w:t>
      </w:r>
      <w:r>
        <w:rPr>
          <w:rFonts w:hint="eastAsia" w:ascii="仿宋_GB2312" w:eastAsia="仿宋_GB2312"/>
          <w:sz w:val="32"/>
          <w:szCs w:val="32"/>
          <w:highlight w:val="none"/>
        </w:rPr>
        <w:t>万元，</w:t>
      </w:r>
      <w:r>
        <w:rPr>
          <w:rFonts w:hint="eastAsia" w:ascii="仿宋_GB2312" w:eastAsia="仿宋_GB2312"/>
          <w:bCs/>
          <w:sz w:val="32"/>
          <w:szCs w:val="32"/>
        </w:rPr>
        <w:t>主要用于保障局机关及下属预算单位开展公务活动所需的公务用车燃料费、维修费、过路过桥费、保险费支出。</w:t>
      </w:r>
      <w:r>
        <w:rPr>
          <w:rFonts w:hint="eastAsia" w:ascii="仿宋_GB2312" w:eastAsia="仿宋_GB2312"/>
          <w:sz w:val="32"/>
          <w:szCs w:val="32"/>
        </w:rPr>
        <w:t>增加的主要原因是我局20</w:t>
      </w:r>
      <w:r>
        <w:rPr>
          <w:rFonts w:hint="eastAsia" w:ascii="仿宋_GB2312" w:eastAsia="仿宋_GB2312"/>
          <w:sz w:val="32"/>
          <w:szCs w:val="32"/>
          <w:lang w:val="en-US" w:eastAsia="zh-CN"/>
        </w:rPr>
        <w:t>21</w:t>
      </w:r>
      <w:r>
        <w:rPr>
          <w:rFonts w:hint="eastAsia" w:ascii="仿宋_GB2312" w:eastAsia="仿宋_GB2312"/>
          <w:sz w:val="32"/>
          <w:szCs w:val="32"/>
        </w:rPr>
        <w:t>年厉行</w:t>
      </w:r>
      <w:r>
        <w:rPr>
          <w:rFonts w:hint="eastAsia" w:ascii="仿宋_GB2312" w:eastAsia="仿宋_GB2312"/>
          <w:color w:val="000000"/>
          <w:sz w:val="32"/>
          <w:szCs w:val="32"/>
        </w:rPr>
        <w:t>节约、严控三公经费，公务用车运行维护费</w:t>
      </w:r>
      <w:r>
        <w:rPr>
          <w:rFonts w:hint="eastAsia" w:ascii="仿宋_GB2312" w:eastAsia="仿宋_GB2312"/>
          <w:color w:val="000000"/>
          <w:sz w:val="32"/>
          <w:szCs w:val="32"/>
          <w:lang w:eastAsia="zh-CN"/>
        </w:rPr>
        <w:t>支出数减少</w:t>
      </w:r>
      <w:r>
        <w:rPr>
          <w:rFonts w:hint="eastAsia" w:ascii="仿宋_GB2312" w:eastAsia="仿宋_GB2312"/>
          <w:color w:val="000000"/>
          <w:sz w:val="32"/>
          <w:szCs w:val="32"/>
        </w:rPr>
        <w:t>，而202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年公务用车运行维护费预算按照车辆定额核定，故公务用车购置及运行维护费预算比上年执行数增加。</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9"/>
        <w:keepNext w:val="0"/>
        <w:keepLines w:val="0"/>
        <w:pageBreakBefore w:val="0"/>
        <w:kinsoku/>
        <w:wordWrap/>
        <w:overflowPunct/>
        <w:topLinePunct w:val="0"/>
        <w:autoSpaceDE/>
        <w:autoSpaceDN/>
        <w:bidi w:val="0"/>
        <w:adjustRightInd/>
        <w:snapToGrid w:val="0"/>
        <w:spacing w:before="0" w:beforeLines="0" w:after="0" w:afterLines="0" w:line="560" w:lineRule="exact"/>
        <w:ind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2022年</w:t>
      </w: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eastAsia="仿宋_GB2312"/>
          <w:color w:val="000000"/>
          <w:sz w:val="32"/>
          <w:szCs w:val="32"/>
          <w:highlight w:val="none"/>
          <w:lang w:eastAsia="zh-CN"/>
        </w:rPr>
        <w:t>的机关运行经费财政拨款预算</w:t>
      </w:r>
      <w:r>
        <w:rPr>
          <w:rFonts w:hint="eastAsia" w:ascii="仿宋_GB2312" w:eastAsia="仿宋_GB2312"/>
          <w:color w:val="000000"/>
          <w:sz w:val="32"/>
          <w:szCs w:val="32"/>
          <w:highlight w:val="none"/>
          <w:lang w:val="en-US" w:eastAsia="zh-CN"/>
        </w:rPr>
        <w:t>387.71万元，比上年预算减少8.46</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，下降2.14%，</w:t>
      </w:r>
      <w:r>
        <w:rPr>
          <w:rFonts w:hint="eastAsia" w:ascii="仿宋_GB2312" w:hAnsi="仿宋_GB2312" w:eastAsia="仿宋_GB2312" w:cs="Times New Roman"/>
          <w:color w:val="000000"/>
          <w:kern w:val="2"/>
          <w:sz w:val="32"/>
          <w:szCs w:val="20"/>
          <w:shd w:val="clear" w:color="auto" w:fill="auto"/>
          <w:lang w:val="en-US" w:eastAsia="zh-CN"/>
        </w:rPr>
        <w:t>主要是人员数量有所变化</w:t>
      </w:r>
      <w:r>
        <w:rPr>
          <w:rFonts w:hint="eastAsia" w:ascii="仿宋_GB2312" w:eastAsia="仿宋_GB2312"/>
          <w:color w:val="000000"/>
          <w:sz w:val="32"/>
          <w:szCs w:val="32"/>
          <w:highlight w:val="none"/>
          <w:lang w:val="en-US" w:eastAsia="zh-CN"/>
        </w:rPr>
        <w:t>。</w:t>
      </w:r>
    </w:p>
    <w:p>
      <w:pPr>
        <w:pStyle w:val="19"/>
        <w:keepNext w:val="0"/>
        <w:keepLines w:val="0"/>
        <w:pageBreakBefore w:val="0"/>
        <w:numPr>
          <w:ilvl w:val="0"/>
          <w:numId w:val="3"/>
        </w:numPr>
        <w:kinsoku/>
        <w:wordWrap/>
        <w:overflowPunct/>
        <w:topLinePunct w:val="0"/>
        <w:autoSpaceDE/>
        <w:autoSpaceDN/>
        <w:bidi w:val="0"/>
        <w:adjustRightInd/>
        <w:snapToGrid/>
        <w:spacing w:beforeLines="0" w:afterLines="0" w:line="56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9"/>
        <w:keepNext w:val="0"/>
        <w:keepLines w:val="0"/>
        <w:pageBreakBefore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仿宋_GB2312" w:eastAsia="仿宋_GB2312"/>
          <w:color w:val="FF0000"/>
          <w:sz w:val="32"/>
          <w:szCs w:val="32"/>
          <w:highlight w:val="none"/>
          <w:u w:val="none"/>
          <w:lang w:val="en-US" w:eastAsia="zh-CN"/>
        </w:rPr>
      </w:pPr>
      <w:r>
        <w:rPr>
          <w:rFonts w:hint="eastAsia" w:ascii="仿宋_GB2312" w:eastAsia="仿宋_GB2312"/>
          <w:b w:val="0"/>
          <w:bCs w:val="0"/>
          <w:sz w:val="32"/>
          <w:szCs w:val="32"/>
          <w:highlight w:val="none"/>
          <w:u w:val="none"/>
          <w:lang w:val="en-US" w:eastAsia="zh-CN"/>
        </w:rPr>
        <w:t>2022年</w:t>
      </w: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eastAsia="仿宋_GB2312"/>
          <w:color w:val="000000"/>
          <w:sz w:val="32"/>
          <w:szCs w:val="32"/>
          <w:highlight w:val="none"/>
          <w:lang w:eastAsia="zh-CN"/>
        </w:rPr>
        <w:t>各单位政府采购预算总额</w:t>
      </w:r>
      <w:r>
        <w:rPr>
          <w:rFonts w:hint="eastAsia" w:ascii="仿宋_GB2312" w:eastAsia="仿宋_GB2312"/>
          <w:color w:val="000000"/>
          <w:sz w:val="32"/>
          <w:szCs w:val="32"/>
          <w:highlight w:val="none"/>
          <w:lang w:val="en-US" w:eastAsia="zh-CN"/>
        </w:rPr>
        <w:t>297万元，其中：政府采购货物预算44万元、政府采购工程预算0万元、政府采购服务预算253万元。</w:t>
      </w:r>
    </w:p>
    <w:p>
      <w:pPr>
        <w:pStyle w:val="19"/>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auto"/>
          <w:spacing w:val="6"/>
          <w:sz w:val="32"/>
          <w:szCs w:val="32"/>
          <w:highlight w:val="none"/>
          <w:lang w:eastAsia="zh-CN"/>
        </w:rPr>
        <w:t>所属各预算单位共有车辆</w:t>
      </w:r>
      <w:r>
        <w:rPr>
          <w:rFonts w:hint="eastAsia" w:ascii="仿宋_GB2312" w:hAnsi="仿宋_GB2312" w:eastAsia="仿宋_GB2312" w:cs="仿宋_GB2312"/>
          <w:color w:val="auto"/>
          <w:sz w:val="32"/>
          <w:szCs w:val="32"/>
          <w:highlight w:val="none"/>
          <w:lang w:val="en-US" w:eastAsia="zh-CN"/>
        </w:rPr>
        <w:t xml:space="preserve">6辆，其中，省部级领导用车0辆、机要通信用车及应急保障用车0辆、执法执勤用车2辆、特种专业技术用车0辆、老干部服务用车1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9"/>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000000"/>
          <w:sz w:val="32"/>
          <w:szCs w:val="32"/>
          <w:highlight w:val="none"/>
          <w:lang w:eastAsia="zh-CN"/>
        </w:rPr>
        <w:t>衢州市财政局（本级）</w:t>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其他运转类项目和特定目标类项目均实行绩效目标管理，涉及一般公共预算当年拨款901万元，一级项目5个。</w:t>
      </w:r>
    </w:p>
    <w:p>
      <w:pPr>
        <w:pStyle w:val="19"/>
        <w:keepNext w:val="0"/>
        <w:keepLines w:val="0"/>
        <w:pageBreakBefore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1.财政拨款收入：本级财政部门当年拨付的财政预算资金，包括一般公共预算财政拨款和政府性基金预算财政拨款。</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7.机关运行经费：指为保障行政单位（含参照公务员法管理的事业单位）运行用于购买货物和服务的各项资金，包</w:t>
      </w:r>
      <w:r>
        <w:rPr>
          <w:rFonts w:hint="eastAsia" w:ascii="仿宋_GB2312" w:hAnsi="仿宋_GB2312" w:eastAsia="仿宋_GB2312" w:cs="仿宋_GB2312"/>
          <w:b w:val="0"/>
          <w:bCs w:val="0"/>
          <w:color w:val="auto"/>
          <w:sz w:val="32"/>
          <w:szCs w:val="32"/>
          <w:highlight w:val="none"/>
          <w:lang w:val="en-US" w:eastAsia="zh-CN"/>
        </w:rPr>
        <w:t>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.一般公共服务支出（类）财政事务（款）行政运行（项）：指局本级及下属实行公务员管理事业单位的基本支出。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仿宋_GB2312" w:hAnsi="Times New Roman" w:eastAsia="仿宋_GB2312" w:cs="仿宋_GB2312"/>
          <w:i w:val="0"/>
          <w:caps w:val="0"/>
          <w:color w:val="434343"/>
          <w:spacing w:val="0"/>
          <w:sz w:val="31"/>
          <w:szCs w:val="31"/>
          <w:shd w:val="clear" w:fill="FFFFFF"/>
        </w:rPr>
      </w:pPr>
      <w:r>
        <w:rPr>
          <w:rFonts w:hint="eastAsia" w:ascii="仿宋_GB2312" w:hAnsi="Times New Roman" w:eastAsia="仿宋_GB2312" w:cs="仿宋_GB2312"/>
          <w:i w:val="0"/>
          <w:caps w:val="0"/>
          <w:color w:val="434343"/>
          <w:spacing w:val="0"/>
          <w:sz w:val="31"/>
          <w:szCs w:val="31"/>
          <w:shd w:val="clear" w:fill="FFFFFF"/>
        </w:rPr>
        <w:t>9.一般公共服务支出（类）财政事务（款）</w:t>
      </w:r>
      <w:r>
        <w:rPr>
          <w:rFonts w:hint="eastAsia" w:ascii="仿宋_GB2312" w:hAnsi="Times New Roman" w:eastAsia="仿宋_GB2312" w:cs="仿宋_GB2312"/>
          <w:i w:val="0"/>
          <w:caps w:val="0"/>
          <w:color w:val="434343"/>
          <w:spacing w:val="0"/>
          <w:sz w:val="31"/>
          <w:szCs w:val="31"/>
          <w:shd w:val="clear" w:fill="FFFFFF"/>
          <w:lang w:eastAsia="zh-CN"/>
        </w:rPr>
        <w:t>信息化建设</w:t>
      </w:r>
      <w:r>
        <w:rPr>
          <w:rFonts w:hint="eastAsia" w:ascii="仿宋_GB2312" w:hAnsi="Times New Roman" w:eastAsia="仿宋_GB2312" w:cs="仿宋_GB2312"/>
          <w:i w:val="0"/>
          <w:caps w:val="0"/>
          <w:color w:val="434343"/>
          <w:spacing w:val="0"/>
          <w:sz w:val="31"/>
          <w:szCs w:val="31"/>
          <w:shd w:val="clear" w:fill="FFFFFF"/>
        </w:rPr>
        <w:t>（项）：指</w:t>
      </w:r>
      <w:r>
        <w:rPr>
          <w:rFonts w:hint="eastAsia" w:ascii="仿宋_GB2312" w:hAnsi="Times New Roman" w:eastAsia="仿宋_GB2312" w:cs="仿宋_GB2312"/>
          <w:i w:val="0"/>
          <w:caps w:val="0"/>
          <w:color w:val="434343"/>
          <w:spacing w:val="0"/>
          <w:sz w:val="31"/>
          <w:szCs w:val="31"/>
          <w:shd w:val="clear" w:color="auto" w:fill="FFFFFF"/>
        </w:rPr>
        <w:t>推动信息化建设产生的各项支出。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4" w:lineRule="atLeast"/>
        <w:ind w:left="0" w:right="0" w:firstLine="600"/>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lang w:val="en-US" w:eastAsia="zh-CN"/>
        </w:rPr>
        <w:t>10.</w:t>
      </w:r>
      <w:r>
        <w:rPr>
          <w:rFonts w:hint="eastAsia" w:ascii="仿宋_GB2312" w:hAnsi="Times New Roman" w:eastAsia="仿宋_GB2312" w:cs="仿宋_GB2312"/>
          <w:i w:val="0"/>
          <w:caps w:val="0"/>
          <w:color w:val="434343"/>
          <w:spacing w:val="0"/>
          <w:sz w:val="31"/>
          <w:szCs w:val="31"/>
          <w:shd w:val="clear" w:fill="FFFFFF"/>
        </w:rPr>
        <w:t>一般公共服务支出（类）财政事务（款）</w:t>
      </w:r>
      <w:r>
        <w:rPr>
          <w:rFonts w:hint="eastAsia" w:ascii="仿宋_GB2312" w:eastAsia="仿宋_GB2312" w:cs="仿宋_GB2312"/>
          <w:i w:val="0"/>
          <w:caps w:val="0"/>
          <w:color w:val="434343"/>
          <w:spacing w:val="0"/>
          <w:sz w:val="31"/>
          <w:szCs w:val="31"/>
          <w:shd w:val="clear" w:fill="FFFFFF"/>
          <w:lang w:eastAsia="zh-CN"/>
        </w:rPr>
        <w:t>财政委托业务支出</w:t>
      </w:r>
      <w:r>
        <w:rPr>
          <w:rFonts w:hint="eastAsia" w:ascii="仿宋_GB2312" w:hAnsi="Times New Roman" w:eastAsia="仿宋_GB2312" w:cs="仿宋_GB2312"/>
          <w:i w:val="0"/>
          <w:caps w:val="0"/>
          <w:color w:val="434343"/>
          <w:spacing w:val="0"/>
          <w:sz w:val="31"/>
          <w:szCs w:val="31"/>
          <w:shd w:val="clear" w:fill="FFFFFF"/>
        </w:rPr>
        <w:t>（项）：</w:t>
      </w:r>
      <w:r>
        <w:rPr>
          <w:rFonts w:hint="eastAsia" w:ascii="仿宋_GB2312" w:hAnsi="Times New Roman" w:eastAsia="仿宋_GB2312" w:cs="仿宋_GB2312"/>
          <w:i w:val="0"/>
          <w:caps w:val="0"/>
          <w:color w:val="434343"/>
          <w:spacing w:val="0"/>
          <w:sz w:val="31"/>
          <w:szCs w:val="31"/>
          <w:shd w:val="clear" w:color="auto" w:fill="FFFFFF"/>
        </w:rPr>
        <w:t>指为推动财政资金监管、财政资金使用绩效等方面的支出。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rPr>
        <w:t>1</w:t>
      </w:r>
      <w:r>
        <w:rPr>
          <w:rFonts w:hint="eastAsia" w:ascii="仿宋_GB2312" w:hAnsi="Times New Roman" w:eastAsia="仿宋_GB2312" w:cs="仿宋_GB2312"/>
          <w:i w:val="0"/>
          <w:caps w:val="0"/>
          <w:color w:val="434343"/>
          <w:spacing w:val="0"/>
          <w:sz w:val="31"/>
          <w:szCs w:val="31"/>
          <w:shd w:val="clear" w:fill="FFFFFF"/>
          <w:lang w:val="en-US" w:eastAsia="zh-CN"/>
        </w:rPr>
        <w:t>1</w:t>
      </w:r>
      <w:r>
        <w:rPr>
          <w:rFonts w:hint="eastAsia" w:ascii="仿宋_GB2312" w:hAnsi="Times New Roman" w:eastAsia="仿宋_GB2312" w:cs="仿宋_GB2312"/>
          <w:i w:val="0"/>
          <w:caps w:val="0"/>
          <w:color w:val="434343"/>
          <w:spacing w:val="0"/>
          <w:sz w:val="31"/>
          <w:szCs w:val="31"/>
          <w:shd w:val="clear" w:fill="FFFFFF"/>
        </w:rPr>
        <w:t>.一般公共服务支出（类）财政事务（款）其他财政事务支出（项）：指除上述项目以外的其他财政事务方面的支出。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rPr>
        <w:t>    1</w:t>
      </w:r>
      <w:r>
        <w:rPr>
          <w:rFonts w:hint="eastAsia" w:ascii="仿宋_GB2312" w:hAnsi="Times New Roman" w:eastAsia="仿宋_GB2312" w:cs="仿宋_GB2312"/>
          <w:i w:val="0"/>
          <w:caps w:val="0"/>
          <w:color w:val="434343"/>
          <w:spacing w:val="0"/>
          <w:sz w:val="31"/>
          <w:szCs w:val="31"/>
          <w:shd w:val="clear" w:fill="FFFFFF"/>
          <w:lang w:val="en-US" w:eastAsia="zh-CN"/>
        </w:rPr>
        <w:t>2</w:t>
      </w:r>
      <w:r>
        <w:rPr>
          <w:rFonts w:hint="eastAsia" w:ascii="仿宋_GB2312" w:hAnsi="Times New Roman" w:eastAsia="仿宋_GB2312" w:cs="仿宋_GB2312"/>
          <w:i w:val="0"/>
          <w:caps w:val="0"/>
          <w:color w:val="434343"/>
          <w:spacing w:val="0"/>
          <w:sz w:val="31"/>
          <w:szCs w:val="31"/>
          <w:shd w:val="clear" w:fill="FFFFFF"/>
        </w:rPr>
        <w:t>.社会保障和就业支出（类）行政事业单位养老支出（款）机关事业单位基本养老保险缴费支出（项）：指局本级和局属事业单位实施养老保险制度由单位缴纳的基本养老保险费支出。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rPr>
        <w:t>    1</w:t>
      </w:r>
      <w:r>
        <w:rPr>
          <w:rFonts w:hint="eastAsia" w:ascii="仿宋_GB2312" w:hAnsi="Times New Roman" w:eastAsia="仿宋_GB2312" w:cs="仿宋_GB2312"/>
          <w:i w:val="0"/>
          <w:caps w:val="0"/>
          <w:color w:val="434343"/>
          <w:spacing w:val="0"/>
          <w:sz w:val="31"/>
          <w:szCs w:val="31"/>
          <w:shd w:val="clear" w:fill="FFFFFF"/>
          <w:lang w:val="en-US" w:eastAsia="zh-CN"/>
        </w:rPr>
        <w:t>3</w:t>
      </w:r>
      <w:r>
        <w:rPr>
          <w:rFonts w:hint="eastAsia" w:ascii="仿宋_GB2312" w:hAnsi="Times New Roman" w:eastAsia="仿宋_GB2312" w:cs="仿宋_GB2312"/>
          <w:i w:val="0"/>
          <w:caps w:val="0"/>
          <w:color w:val="434343"/>
          <w:spacing w:val="0"/>
          <w:sz w:val="31"/>
          <w:szCs w:val="31"/>
          <w:shd w:val="clear" w:fill="FFFFFF"/>
        </w:rPr>
        <w:t>.社会保障和就业支出（类）行政事业单位养老支出（款）机关事业单位职业年金缴费支出（项）：指局本级和局属事业单位实施养老保险制度由单位实际缴纳的职业年金支出。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rPr>
        <w:t>1</w:t>
      </w:r>
      <w:r>
        <w:rPr>
          <w:rFonts w:hint="eastAsia" w:ascii="仿宋_GB2312" w:hAnsi="Times New Roman" w:eastAsia="仿宋_GB2312" w:cs="仿宋_GB2312"/>
          <w:i w:val="0"/>
          <w:caps w:val="0"/>
          <w:color w:val="434343"/>
          <w:spacing w:val="0"/>
          <w:sz w:val="31"/>
          <w:szCs w:val="31"/>
          <w:shd w:val="clear" w:fill="FFFFFF"/>
          <w:lang w:val="en-US" w:eastAsia="zh-CN"/>
        </w:rPr>
        <w:t>4</w:t>
      </w:r>
      <w:r>
        <w:rPr>
          <w:rFonts w:hint="eastAsia" w:ascii="仿宋_GB2312" w:hAnsi="Times New Roman" w:eastAsia="仿宋_GB2312" w:cs="仿宋_GB2312"/>
          <w:i w:val="0"/>
          <w:caps w:val="0"/>
          <w:color w:val="434343"/>
          <w:spacing w:val="0"/>
          <w:sz w:val="31"/>
          <w:szCs w:val="31"/>
          <w:shd w:val="clear" w:fill="FFFFFF"/>
        </w:rPr>
        <w:t>.社会保障和就业支出（类）行政事业单位养老支出（款）其他行政事业单位养老支出（项）：指局本级和局属事业单位离休干部经费。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cs="Times New Roman"/>
          <w:i w:val="0"/>
          <w:caps w:val="0"/>
          <w:color w:val="434343"/>
          <w:spacing w:val="0"/>
          <w:sz w:val="27"/>
          <w:szCs w:val="27"/>
        </w:rPr>
      </w:pPr>
      <w:r>
        <w:rPr>
          <w:rFonts w:hint="eastAsia" w:ascii="仿宋_GB2312" w:hAnsi="Times New Roman" w:eastAsia="仿宋_GB2312" w:cs="仿宋_GB2312"/>
          <w:i w:val="0"/>
          <w:caps w:val="0"/>
          <w:color w:val="434343"/>
          <w:spacing w:val="0"/>
          <w:sz w:val="31"/>
          <w:szCs w:val="31"/>
          <w:shd w:val="clear" w:fill="FFFFFF"/>
        </w:rPr>
        <w:t>    1</w:t>
      </w:r>
      <w:r>
        <w:rPr>
          <w:rFonts w:hint="eastAsia" w:ascii="仿宋_GB2312" w:hAnsi="Times New Roman" w:eastAsia="仿宋_GB2312" w:cs="仿宋_GB2312"/>
          <w:i w:val="0"/>
          <w:caps w:val="0"/>
          <w:color w:val="434343"/>
          <w:spacing w:val="0"/>
          <w:sz w:val="31"/>
          <w:szCs w:val="31"/>
          <w:shd w:val="clear" w:fill="FFFFFF"/>
          <w:lang w:val="en-US" w:eastAsia="zh-CN"/>
        </w:rPr>
        <w:t>5</w:t>
      </w:r>
      <w:r>
        <w:rPr>
          <w:rFonts w:hint="eastAsia" w:ascii="仿宋_GB2312" w:hAnsi="Times New Roman" w:eastAsia="仿宋_GB2312" w:cs="仿宋_GB2312"/>
          <w:i w:val="0"/>
          <w:caps w:val="0"/>
          <w:color w:val="434343"/>
          <w:spacing w:val="0"/>
          <w:sz w:val="31"/>
          <w:szCs w:val="31"/>
          <w:shd w:val="clear" w:fill="FFFFFF"/>
        </w:rPr>
        <w:t>.社会保障和就业支出（类）财政对其他社会保险基金的补助（款）其他财政对社会保险基金的补助（项）：指局本级和局属事业单位公务员医疗补助费用支出。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Times New Roman" w:hAnsi="Times New Roman" w:cs="Times New Roman"/>
          <w:i w:val="0"/>
          <w:caps w:val="0"/>
          <w:color w:val="434343"/>
          <w:spacing w:val="0"/>
          <w:sz w:val="21"/>
          <w:szCs w:val="21"/>
        </w:rPr>
      </w:pPr>
      <w:r>
        <w:rPr>
          <w:rFonts w:hint="eastAsia" w:ascii="仿宋_GB2312" w:hAnsi="Times New Roman" w:eastAsia="仿宋_GB2312" w:cs="仿宋_GB2312"/>
          <w:i w:val="0"/>
          <w:caps w:val="0"/>
          <w:color w:val="434343"/>
          <w:spacing w:val="0"/>
          <w:sz w:val="31"/>
          <w:szCs w:val="31"/>
          <w:shd w:val="clear" w:fill="FFFFFF"/>
        </w:rPr>
        <w:t>1</w:t>
      </w:r>
      <w:r>
        <w:rPr>
          <w:rFonts w:hint="eastAsia" w:ascii="仿宋_GB2312" w:hAnsi="Times New Roman" w:eastAsia="仿宋_GB2312" w:cs="仿宋_GB2312"/>
          <w:i w:val="0"/>
          <w:caps w:val="0"/>
          <w:color w:val="434343"/>
          <w:spacing w:val="0"/>
          <w:sz w:val="31"/>
          <w:szCs w:val="31"/>
          <w:shd w:val="clear" w:fill="FFFFFF"/>
          <w:lang w:val="en-US" w:eastAsia="zh-CN"/>
        </w:rPr>
        <w:t>6</w:t>
      </w:r>
      <w:r>
        <w:rPr>
          <w:rFonts w:hint="eastAsia" w:ascii="仿宋_GB2312" w:hAnsi="Times New Roman" w:eastAsia="仿宋_GB2312" w:cs="仿宋_GB2312"/>
          <w:i w:val="0"/>
          <w:caps w:val="0"/>
          <w:color w:val="434343"/>
          <w:spacing w:val="0"/>
          <w:sz w:val="31"/>
          <w:szCs w:val="31"/>
          <w:shd w:val="clear" w:fill="FFFFFF"/>
        </w:rPr>
        <w:t>.住房保障支出（类）住房改革支出（款）住房公积金（项）：指局本级和局属事业单位按照国家政策规定为干部职工缴纳的住房公积金支出。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420" w:firstLineChars="200"/>
        <w:textAlignment w:val="auto"/>
        <w:rPr>
          <w:b w:val="0"/>
          <w:bCs w:val="0"/>
          <w:highlight w:val="none"/>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2ECCF"/>
    <w:multiLevelType w:val="singleLevel"/>
    <w:tmpl w:val="FA52ECCF"/>
    <w:lvl w:ilvl="0" w:tentative="0">
      <w:start w:val="1"/>
      <w:numFmt w:val="decimal"/>
      <w:lvlText w:val="%1."/>
      <w:lvlJc w:val="left"/>
      <w:pPr>
        <w:tabs>
          <w:tab w:val="left" w:pos="312"/>
        </w:tabs>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750C9"/>
    <w:rsid w:val="02722F3C"/>
    <w:rsid w:val="0432483D"/>
    <w:rsid w:val="06370F82"/>
    <w:rsid w:val="066303ED"/>
    <w:rsid w:val="09910922"/>
    <w:rsid w:val="0B74595E"/>
    <w:rsid w:val="0C014F6D"/>
    <w:rsid w:val="10BA2E08"/>
    <w:rsid w:val="11641E21"/>
    <w:rsid w:val="125B4450"/>
    <w:rsid w:val="163A5A02"/>
    <w:rsid w:val="16EF5067"/>
    <w:rsid w:val="1CB76995"/>
    <w:rsid w:val="1D88260F"/>
    <w:rsid w:val="1ED74D17"/>
    <w:rsid w:val="1F770AD9"/>
    <w:rsid w:val="22E8681A"/>
    <w:rsid w:val="245B3CCB"/>
    <w:rsid w:val="255258CA"/>
    <w:rsid w:val="26E82133"/>
    <w:rsid w:val="275013D2"/>
    <w:rsid w:val="27AF99D0"/>
    <w:rsid w:val="30FB09F5"/>
    <w:rsid w:val="31267C95"/>
    <w:rsid w:val="32013245"/>
    <w:rsid w:val="32FF21F7"/>
    <w:rsid w:val="336C035D"/>
    <w:rsid w:val="3787034C"/>
    <w:rsid w:val="378D1B30"/>
    <w:rsid w:val="3BD16350"/>
    <w:rsid w:val="3C3E01FD"/>
    <w:rsid w:val="3E054CA0"/>
    <w:rsid w:val="3E663D4F"/>
    <w:rsid w:val="40EF18A2"/>
    <w:rsid w:val="41260B4E"/>
    <w:rsid w:val="415A1C10"/>
    <w:rsid w:val="434B0F61"/>
    <w:rsid w:val="4413460B"/>
    <w:rsid w:val="44F67A1C"/>
    <w:rsid w:val="479F1816"/>
    <w:rsid w:val="47BB3E71"/>
    <w:rsid w:val="49FE15D1"/>
    <w:rsid w:val="4AFA32A4"/>
    <w:rsid w:val="51F36C5A"/>
    <w:rsid w:val="54C31518"/>
    <w:rsid w:val="558C4C42"/>
    <w:rsid w:val="56432923"/>
    <w:rsid w:val="5650217B"/>
    <w:rsid w:val="59577DA9"/>
    <w:rsid w:val="5A84334F"/>
    <w:rsid w:val="5BF9A05E"/>
    <w:rsid w:val="5CA47F6C"/>
    <w:rsid w:val="5EB76563"/>
    <w:rsid w:val="5EC53EF9"/>
    <w:rsid w:val="5ECE58B3"/>
    <w:rsid w:val="62763C36"/>
    <w:rsid w:val="63EE20F1"/>
    <w:rsid w:val="65DA2EDB"/>
    <w:rsid w:val="69D869AD"/>
    <w:rsid w:val="6A3D337D"/>
    <w:rsid w:val="6E580B01"/>
    <w:rsid w:val="6F1E159C"/>
    <w:rsid w:val="70CE6488"/>
    <w:rsid w:val="74755B9D"/>
    <w:rsid w:val="753064B9"/>
    <w:rsid w:val="759C24D2"/>
    <w:rsid w:val="76442312"/>
    <w:rsid w:val="76DFF3BC"/>
    <w:rsid w:val="773C5F59"/>
    <w:rsid w:val="778D0E04"/>
    <w:rsid w:val="77A56298"/>
    <w:rsid w:val="77FF0865"/>
    <w:rsid w:val="79626289"/>
    <w:rsid w:val="79755AE1"/>
    <w:rsid w:val="79AD5421"/>
    <w:rsid w:val="7CF43494"/>
    <w:rsid w:val="7CFB18E8"/>
    <w:rsid w:val="7DBFC2EB"/>
    <w:rsid w:val="7FA56FCC"/>
    <w:rsid w:val="7FE3062C"/>
    <w:rsid w:val="A4EFBF90"/>
    <w:rsid w:val="B7C5033B"/>
    <w:rsid w:val="DCAF744D"/>
    <w:rsid w:val="F3BE8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 Char"/>
    <w:basedOn w:val="1"/>
    <w:link w:val="8"/>
    <w:qFormat/>
    <w:uiPriority w:val="0"/>
    <w:rPr>
      <w:rFonts w:ascii="宋体" w:hAnsi="宋体" w:cs="Courier New"/>
      <w:sz w:val="32"/>
      <w:szCs w:val="32"/>
    </w:rPr>
  </w:style>
  <w:style w:type="character" w:styleId="10">
    <w:name w:val="Strong"/>
    <w:basedOn w:val="8"/>
    <w:qFormat/>
    <w:uiPriority w:val="0"/>
    <w:rPr>
      <w:b/>
      <w:bCs/>
    </w:rPr>
  </w:style>
  <w:style w:type="character" w:styleId="11">
    <w:name w:val="page number"/>
    <w:basedOn w:val="8"/>
    <w:qFormat/>
    <w:uiPriority w:val="0"/>
  </w:style>
  <w:style w:type="character" w:styleId="12">
    <w:name w:val="FollowedHyperlink"/>
    <w:basedOn w:val="8"/>
    <w:qFormat/>
    <w:uiPriority w:val="0"/>
    <w:rPr>
      <w:color w:val="800080"/>
      <w:u w:val="none"/>
    </w:rPr>
  </w:style>
  <w:style w:type="character" w:styleId="13">
    <w:name w:val="HTML Definition"/>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paragraph" w:customStyle="1" w:styleId="18">
    <w:name w:val="Char"/>
    <w:basedOn w:val="1"/>
    <w:link w:val="8"/>
    <w:qFormat/>
    <w:uiPriority w:val="0"/>
  </w:style>
  <w:style w:type="paragraph" w:customStyle="1" w:styleId="19">
    <w:name w:val="p0"/>
    <w:basedOn w:val="1"/>
    <w:qFormat/>
    <w:uiPriority w:val="0"/>
    <w:pPr>
      <w:widowControl/>
    </w:pPr>
    <w:rPr>
      <w:kern w:val="0"/>
      <w:szCs w:val="21"/>
    </w:rPr>
  </w:style>
  <w:style w:type="character" w:customStyle="1" w:styleId="20">
    <w:name w:val="item-middle"/>
    <w:basedOn w:val="8"/>
    <w:qFormat/>
    <w:uiPriority w:val="0"/>
  </w:style>
  <w:style w:type="character" w:customStyle="1" w:styleId="21">
    <w:name w:val="image"/>
    <w:basedOn w:val="8"/>
    <w:qFormat/>
    <w:uiPriority w:val="0"/>
  </w:style>
  <w:style w:type="character" w:customStyle="1" w:styleId="22">
    <w:name w:val="image2"/>
    <w:basedOn w:val="8"/>
    <w:qFormat/>
    <w:uiPriority w:val="0"/>
  </w:style>
  <w:style w:type="character" w:customStyle="1" w:styleId="23">
    <w:name w:val="image3"/>
    <w:basedOn w:val="8"/>
    <w:qFormat/>
    <w:uiPriority w:val="0"/>
  </w:style>
  <w:style w:type="character" w:customStyle="1" w:styleId="24">
    <w:name w:val="ui-state-hover21"/>
    <w:basedOn w:val="8"/>
    <w:qFormat/>
    <w:uiPriority w:val="0"/>
  </w:style>
  <w:style w:type="character" w:customStyle="1" w:styleId="25">
    <w:name w:val="ui-state-active5"/>
    <w:basedOn w:val="8"/>
    <w:qFormat/>
    <w:uiPriority w:val="0"/>
  </w:style>
  <w:style w:type="character" w:customStyle="1" w:styleId="26">
    <w:name w:val="ui-state-default12"/>
    <w:basedOn w:val="8"/>
    <w:qFormat/>
    <w:uiPriority w:val="0"/>
  </w:style>
  <w:style w:type="character" w:customStyle="1" w:styleId="27">
    <w:name w:val="ui-state-default13"/>
    <w:basedOn w:val="8"/>
    <w:qFormat/>
    <w:uiPriority w:val="0"/>
  </w:style>
  <w:style w:type="character" w:customStyle="1" w:styleId="28">
    <w:name w:val="clicked1"/>
    <w:basedOn w:val="8"/>
    <w:qFormat/>
    <w:uiPriority w:val="0"/>
    <w:rPr>
      <w:color w:val="000000"/>
    </w:rPr>
  </w:style>
  <w:style w:type="character" w:customStyle="1" w:styleId="29">
    <w:name w:val="clicked2"/>
    <w:basedOn w:val="8"/>
    <w:qFormat/>
    <w:uiPriority w:val="0"/>
  </w:style>
  <w:style w:type="character" w:customStyle="1" w:styleId="30">
    <w:name w:val="clicked3"/>
    <w:basedOn w:val="8"/>
    <w:qFormat/>
    <w:uiPriority w:val="0"/>
  </w:style>
  <w:style w:type="character" w:customStyle="1" w:styleId="31">
    <w:name w:val="button-hover"/>
    <w:basedOn w:val="8"/>
    <w:qFormat/>
    <w:uiPriority w:val="0"/>
  </w:style>
  <w:style w:type="character" w:customStyle="1" w:styleId="32">
    <w:name w:val="button-hover1"/>
    <w:basedOn w:val="8"/>
    <w:qFormat/>
    <w:uiPriority w:val="0"/>
  </w:style>
  <w:style w:type="character" w:customStyle="1" w:styleId="33">
    <w:name w:val="group"/>
    <w:basedOn w:val="8"/>
    <w:qFormat/>
    <w:uiPriority w:val="0"/>
  </w:style>
  <w:style w:type="character" w:customStyle="1" w:styleId="34">
    <w:name w:val="directchildrenspan"/>
    <w:basedOn w:val="8"/>
    <w:qFormat/>
    <w:uiPriority w:val="0"/>
  </w:style>
  <w:style w:type="character" w:customStyle="1" w:styleId="35">
    <w:name w:val="imgspan"/>
    <w:basedOn w:val="8"/>
    <w:qFormat/>
    <w:uiPriority w:val="0"/>
  </w:style>
  <w:style w:type="character" w:customStyle="1" w:styleId="36">
    <w:name w:val="ui-icon34"/>
    <w:basedOn w:val="8"/>
    <w:qFormat/>
    <w:uiPriority w:val="0"/>
  </w:style>
  <w:style w:type="character" w:customStyle="1" w:styleId="37">
    <w:name w:val="newstitle"/>
    <w:basedOn w:val="8"/>
    <w:qFormat/>
    <w:uiPriority w:val="0"/>
    <w:rPr>
      <w:b/>
      <w:color w:val="000000"/>
      <w:sz w:val="24"/>
      <w:szCs w:val="24"/>
    </w:rPr>
  </w:style>
  <w:style w:type="character" w:customStyle="1" w:styleId="38">
    <w:name w:val="ui-state-hover"/>
    <w:basedOn w:val="8"/>
    <w:qFormat/>
    <w:uiPriority w:val="0"/>
  </w:style>
  <w:style w:type="character" w:customStyle="1" w:styleId="39">
    <w:name w:val="image1"/>
    <w:basedOn w:val="8"/>
    <w:qFormat/>
    <w:uiPriority w:val="0"/>
  </w:style>
  <w:style w:type="character" w:customStyle="1" w:styleId="40">
    <w:name w:val="clicked"/>
    <w:basedOn w:val="8"/>
    <w:qFormat/>
    <w:uiPriority w:val="0"/>
  </w:style>
  <w:style w:type="character" w:customStyle="1" w:styleId="41">
    <w:name w:val="ui-state-active"/>
    <w:basedOn w:val="8"/>
    <w:qFormat/>
    <w:uiPriority w:val="0"/>
  </w:style>
  <w:style w:type="character" w:customStyle="1" w:styleId="42">
    <w:name w:val="ui-icon33"/>
    <w:basedOn w:val="8"/>
    <w:qFormat/>
    <w:uiPriority w:val="0"/>
  </w:style>
  <w:style w:type="character" w:customStyle="1" w:styleId="43">
    <w:name w:val="ui-state-active6"/>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chengws</dc:creator>
  <cp:lastModifiedBy>quzhou</cp:lastModifiedBy>
  <cp:lastPrinted>2022-05-24T10:33:00Z</cp:lastPrinted>
  <dcterms:modified xsi:type="dcterms:W3CDTF">2023-07-28T17:31:01Z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