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Lines="0" w:afterLines="0" w:line="560" w:lineRule="exact"/>
        <w:textAlignment w:val="auto"/>
        <w:rPr>
          <w:rFonts w:hint="eastAsia" w:ascii="黑体" w:hAnsi="黑体" w:eastAsia="黑体" w:cs="黑体"/>
          <w:b w:val="0"/>
          <w:bCs w:val="0"/>
          <w:spacing w:val="15"/>
          <w:sz w:val="32"/>
          <w:szCs w:val="32"/>
          <w:highlight w:val="none"/>
        </w:rPr>
      </w:pPr>
      <w:bookmarkStart w:id="0" w:name="_GoBack"/>
      <w:r>
        <w:rPr>
          <w:rFonts w:hint="eastAsia" w:ascii="黑体" w:hAnsi="黑体" w:eastAsia="黑体" w:cs="黑体"/>
          <w:b w:val="0"/>
          <w:bCs w:val="0"/>
          <w:spacing w:val="15"/>
          <w:sz w:val="32"/>
          <w:szCs w:val="32"/>
          <w:highlight w:val="none"/>
        </w:rPr>
        <w:t>附件</w:t>
      </w:r>
      <w:r>
        <w:rPr>
          <w:rFonts w:hint="eastAsia" w:ascii="黑体" w:hAnsi="黑体" w:eastAsia="黑体" w:cs="黑体"/>
          <w:b w:val="0"/>
          <w:bCs w:val="0"/>
          <w:spacing w:val="15"/>
          <w:sz w:val="32"/>
          <w:szCs w:val="32"/>
          <w:highlight w:val="none"/>
          <w:lang w:val="en-US" w:eastAsia="zh-CN"/>
        </w:rPr>
        <w:t>1</w:t>
      </w: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 w:val="0"/>
          <w:bCs w:val="0"/>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r>
        <w:rPr>
          <w:rFonts w:hint="eastAsia" w:ascii="方正小标宋简体" w:hAnsi="方正小标宋简体" w:eastAsia="方正小标宋简体" w:cs="方正小标宋简体"/>
          <w:bCs/>
          <w:spacing w:val="15"/>
          <w:sz w:val="44"/>
          <w:szCs w:val="44"/>
          <w:highlight w:val="none"/>
          <w:lang w:eastAsia="zh-CN"/>
        </w:rPr>
        <w:t>衢州市财政国库支付中心</w:t>
      </w:r>
      <w:r>
        <w:rPr>
          <w:rFonts w:hint="eastAsia" w:ascii="方正小标宋简体" w:hAnsi="方正小标宋简体" w:eastAsia="方正小标宋简体" w:cs="方正小标宋简体"/>
          <w:bCs/>
          <w:spacing w:val="15"/>
          <w:sz w:val="44"/>
          <w:szCs w:val="44"/>
          <w:highlight w:val="none"/>
          <w:lang w:val="en-US" w:eastAsia="zh-CN"/>
        </w:rPr>
        <w:t>2022</w:t>
      </w:r>
      <w:r>
        <w:rPr>
          <w:rFonts w:hint="eastAsia" w:ascii="方正小标宋简体" w:hAnsi="方正小标宋简体" w:eastAsia="方正小标宋简体" w:cs="方正小标宋简体"/>
          <w:bCs/>
          <w:spacing w:val="15"/>
          <w:sz w:val="44"/>
          <w:szCs w:val="44"/>
          <w:highlight w:val="none"/>
        </w:rPr>
        <w:t>年部门</w:t>
      </w:r>
      <w:r>
        <w:rPr>
          <w:rFonts w:hint="eastAsia" w:ascii="方正小标宋简体" w:hAnsi="方正小标宋简体" w:eastAsia="方正小标宋简体" w:cs="方正小标宋简体"/>
          <w:bCs/>
          <w:spacing w:val="15"/>
          <w:sz w:val="44"/>
          <w:szCs w:val="44"/>
          <w:highlight w:val="none"/>
          <w:lang w:eastAsia="zh-CN"/>
        </w:rPr>
        <w:t>（</w:t>
      </w:r>
      <w:r>
        <w:rPr>
          <w:rFonts w:hint="eastAsia" w:ascii="方正小标宋简体" w:hAnsi="方正小标宋简体" w:eastAsia="方正小标宋简体" w:cs="方正小标宋简体"/>
          <w:bCs/>
          <w:spacing w:val="15"/>
          <w:sz w:val="44"/>
          <w:szCs w:val="44"/>
          <w:highlight w:val="none"/>
          <w:lang w:val="en-US" w:eastAsia="zh-CN"/>
        </w:rPr>
        <w:t>单位）</w:t>
      </w:r>
      <w:r>
        <w:rPr>
          <w:rFonts w:hint="eastAsia" w:ascii="方正小标宋简体" w:hAnsi="方正小标宋简体" w:eastAsia="方正小标宋简体" w:cs="方正小标宋简体"/>
          <w:bCs/>
          <w:spacing w:val="15"/>
          <w:sz w:val="44"/>
          <w:szCs w:val="44"/>
          <w:highlight w:val="none"/>
        </w:rPr>
        <w:t>预算</w:t>
      </w:r>
    </w:p>
    <w:p>
      <w:pPr>
        <w:keepNext w:val="0"/>
        <w:keepLines w:val="0"/>
        <w:pageBreakBefore w:val="0"/>
        <w:kinsoku/>
        <w:wordWrap/>
        <w:overflowPunct/>
        <w:topLinePunct w:val="0"/>
        <w:autoSpaceDE/>
        <w:autoSpaceDN/>
        <w:bidi w:val="0"/>
        <w:adjustRightInd/>
        <w:snapToGrid/>
        <w:spacing w:beforeLines="0" w:afterLines="0" w:line="560" w:lineRule="exact"/>
        <w:ind w:right="0" w:rightChars="0" w:firstLine="590" w:firstLineChars="196"/>
        <w:textAlignment w:val="auto"/>
        <w:outlineLvl w:val="9"/>
        <w:rPr>
          <w:rStyle w:val="9"/>
          <w:rFonts w:hint="eastAsia"/>
          <w:color w:val="000000"/>
          <w:sz w:val="30"/>
          <w:szCs w:val="30"/>
          <w:highlight w:val="none"/>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jc w:val="center"/>
        <w:textAlignment w:val="auto"/>
        <w:outlineLvl w:val="9"/>
        <w:rPr>
          <w:rStyle w:val="9"/>
          <w:rFonts w:hint="eastAsia" w:ascii="黑体" w:eastAsia="黑体"/>
          <w:b w:val="0"/>
          <w:color w:val="000000"/>
          <w:sz w:val="32"/>
          <w:szCs w:val="32"/>
          <w:highlight w:val="none"/>
          <w:lang w:eastAsia="zh-CN"/>
        </w:rPr>
      </w:pPr>
      <w:r>
        <w:rPr>
          <w:rStyle w:val="9"/>
          <w:rFonts w:hint="eastAsia" w:ascii="黑体" w:eastAsia="黑体"/>
          <w:b w:val="0"/>
          <w:color w:val="000000"/>
          <w:sz w:val="32"/>
          <w:szCs w:val="32"/>
          <w:highlight w:val="none"/>
          <w:lang w:eastAsia="zh-CN"/>
        </w:rPr>
        <w:t>目录</w:t>
      </w:r>
    </w:p>
    <w:p>
      <w:pPr>
        <w:pStyle w:val="2"/>
        <w:rPr>
          <w:rStyle w:val="9"/>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Fonts w:hint="default" w:ascii="Times New Roman" w:hAnsi="Times New Roman" w:eastAsia="黑体"/>
          <w:sz w:val="32"/>
          <w:highlight w:val="none"/>
        </w:rPr>
      </w:pPr>
      <w:r>
        <w:rPr>
          <w:rFonts w:hint="eastAsia" w:ascii="黑体" w:eastAsia="黑体"/>
          <w:color w:val="000000"/>
          <w:sz w:val="32"/>
          <w:highlight w:val="none"/>
        </w:rPr>
        <w:t>一、</w:t>
      </w:r>
      <w:r>
        <w:rPr>
          <w:rStyle w:val="9"/>
          <w:rFonts w:hint="eastAsia" w:ascii="黑体" w:eastAsia="黑体"/>
          <w:b w:val="0"/>
          <w:color w:val="000000"/>
          <w:sz w:val="32"/>
          <w:szCs w:val="32"/>
          <w:highlight w:val="none"/>
          <w:lang w:eastAsia="zh-CN"/>
        </w:rPr>
        <w:t>部门</w:t>
      </w:r>
      <w:r>
        <w:rPr>
          <w:rStyle w:val="9"/>
          <w:rFonts w:hint="eastAsia" w:ascii="黑体" w:eastAsia="黑体"/>
          <w:b w:val="0"/>
          <w:color w:val="000000"/>
          <w:sz w:val="32"/>
          <w:szCs w:val="32"/>
          <w:highlight w:val="none"/>
        </w:rPr>
        <w:t>概况</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（一）主要职能</w:t>
      </w:r>
    </w:p>
    <w:p>
      <w:pPr>
        <w:autoSpaceDE w:val="0"/>
        <w:autoSpaceDN w:val="0"/>
        <w:adjustRightInd w:val="0"/>
        <w:ind w:leftChars="200"/>
        <w:jc w:val="left"/>
        <w:rPr>
          <w:rFonts w:hint="default"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（二）部门机构设置情况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9"/>
          <w:rFonts w:hint="eastAsia" w:ascii="黑体" w:eastAsia="黑体"/>
          <w:b w:val="0"/>
          <w:color w:val="000000"/>
          <w:sz w:val="32"/>
          <w:szCs w:val="32"/>
          <w:highlight w:val="none"/>
          <w:lang w:eastAsia="zh-CN"/>
        </w:rPr>
      </w:pPr>
      <w:r>
        <w:rPr>
          <w:rStyle w:val="9"/>
          <w:rFonts w:hint="eastAsia" w:ascii="黑体" w:eastAsia="黑体"/>
          <w:b w:val="0"/>
          <w:color w:val="000000"/>
          <w:sz w:val="32"/>
          <w:szCs w:val="32"/>
          <w:highlight w:val="none"/>
          <w:lang w:eastAsia="zh-CN"/>
        </w:rPr>
        <w:t>二、</w:t>
      </w:r>
      <w:r>
        <w:rPr>
          <w:rStyle w:val="9"/>
          <w:rFonts w:hint="eastAsia" w:ascii="黑体" w:eastAsia="黑体"/>
          <w:b w:val="0"/>
          <w:color w:val="000000"/>
          <w:sz w:val="32"/>
          <w:szCs w:val="32"/>
          <w:highlight w:val="none"/>
          <w:lang w:val="en-US" w:eastAsia="zh-CN"/>
        </w:rPr>
        <w:t>2022</w:t>
      </w:r>
      <w:r>
        <w:rPr>
          <w:rStyle w:val="9"/>
          <w:rFonts w:hint="eastAsia" w:ascii="黑体" w:eastAsia="黑体"/>
          <w:b w:val="0"/>
          <w:color w:val="000000"/>
          <w:sz w:val="32"/>
          <w:szCs w:val="32"/>
          <w:highlight w:val="none"/>
        </w:rPr>
        <w:t>年</w:t>
      </w:r>
      <w:r>
        <w:rPr>
          <w:rStyle w:val="9"/>
          <w:rFonts w:hint="eastAsia" w:ascii="黑体" w:eastAsia="黑体"/>
          <w:b w:val="0"/>
          <w:color w:val="000000"/>
          <w:sz w:val="32"/>
          <w:szCs w:val="32"/>
          <w:highlight w:val="none"/>
          <w:lang w:eastAsia="zh-CN"/>
        </w:rPr>
        <w:t>衢州市财政国库支付中心</w:t>
      </w:r>
      <w:r>
        <w:rPr>
          <w:rStyle w:val="9"/>
          <w:rFonts w:hint="eastAsia" w:ascii="黑体" w:eastAsia="黑体"/>
          <w:b w:val="0"/>
          <w:color w:val="000000"/>
          <w:sz w:val="32"/>
          <w:szCs w:val="32"/>
          <w:highlight w:val="none"/>
        </w:rPr>
        <w:t>部门预算安排情况说明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w:t>
      </w:r>
      <w:r>
        <w:rPr>
          <w:rFonts w:hint="eastAsia" w:ascii="楷体_GB2312" w:hAnsi="楷体_GB2312" w:eastAsia="楷体_GB2312" w:cs="楷体_GB2312"/>
          <w:b w:val="0"/>
          <w:bCs/>
          <w:sz w:val="32"/>
          <w:szCs w:val="32"/>
          <w:highlight w:val="none"/>
          <w:lang w:eastAsia="zh-CN"/>
        </w:rPr>
        <w:t>关于衢州市财政国库支付中心</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val="en-US" w:eastAsia="zh-CN"/>
        </w:rPr>
        <w:t>（二）</w:t>
      </w:r>
      <w:r>
        <w:rPr>
          <w:rFonts w:hint="eastAsia" w:ascii="楷体_GB2312" w:hAnsi="楷体_GB2312" w:eastAsia="楷体_GB2312" w:cs="楷体_GB2312"/>
          <w:b w:val="0"/>
          <w:bCs/>
          <w:sz w:val="32"/>
          <w:szCs w:val="32"/>
          <w:highlight w:val="none"/>
          <w:lang w:eastAsia="zh-CN"/>
        </w:rPr>
        <w:t>关于衢州市财政国库支付中心</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年收入预算</w:t>
      </w:r>
      <w:r>
        <w:rPr>
          <w:rFonts w:hint="eastAsia" w:ascii="楷体_GB2312" w:hAnsi="楷体_GB2312" w:eastAsia="楷体_GB2312" w:cs="楷体_GB2312"/>
          <w:b w:val="0"/>
          <w:bCs/>
          <w:sz w:val="32"/>
          <w:szCs w:val="32"/>
          <w:highlight w:val="none"/>
          <w:lang w:eastAsia="zh-CN"/>
        </w:rPr>
        <w:t>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三</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关于衢州市财政国库支付中心</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年支出预算</w:t>
      </w:r>
      <w:r>
        <w:rPr>
          <w:rFonts w:hint="eastAsia" w:ascii="楷体_GB2312" w:hAnsi="楷体_GB2312" w:eastAsia="楷体_GB2312" w:cs="楷体_GB2312"/>
          <w:b w:val="0"/>
          <w:bCs/>
          <w:sz w:val="32"/>
          <w:szCs w:val="32"/>
          <w:highlight w:val="none"/>
          <w:lang w:eastAsia="zh-CN"/>
        </w:rPr>
        <w:t>情况说明</w:t>
      </w:r>
      <w:r>
        <w:rPr>
          <w:rFonts w:hint="eastAsia" w:ascii="楷体_GB2312" w:hAnsi="楷体_GB2312" w:eastAsia="楷体_GB2312" w:cs="楷体_GB2312"/>
          <w:b w:val="0"/>
          <w:bCs/>
          <w:sz w:val="32"/>
          <w:szCs w:val="32"/>
          <w:highlight w:val="none"/>
        </w:rPr>
        <w:br w:type="textWrapping"/>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四</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关于衢州市财政国库支付中心</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年财政拨款</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（五）关于衢州市财政国库支付中心</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一般公共预算当年拨款情况说明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val="en-US" w:eastAsia="zh-CN"/>
        </w:rPr>
        <w:t>（六）</w:t>
      </w:r>
      <w:r>
        <w:rPr>
          <w:rFonts w:hint="eastAsia" w:ascii="楷体_GB2312" w:hAnsi="楷体_GB2312" w:eastAsia="楷体_GB2312" w:cs="楷体_GB2312"/>
          <w:b w:val="0"/>
          <w:bCs/>
          <w:sz w:val="32"/>
          <w:szCs w:val="32"/>
          <w:highlight w:val="none"/>
          <w:lang w:eastAsia="zh-CN"/>
        </w:rPr>
        <w:t>关于衢州市财政国库支付中心</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一般公共预算基本支出情况说明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（七）关于衢州市财政国库支付中心</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政府性基金预算支出情况说明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（八）关于衢州市财政国库支付中心</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val="en-US" w:eastAsia="zh-CN"/>
        </w:rPr>
        <w:t>国有资本经营预算</w:t>
      </w:r>
      <w:r>
        <w:rPr>
          <w:rFonts w:hint="eastAsia" w:ascii="楷体_GB2312" w:hAnsi="楷体_GB2312" w:eastAsia="楷体_GB2312" w:cs="楷体_GB2312"/>
          <w:b w:val="0"/>
          <w:bCs/>
          <w:sz w:val="32"/>
          <w:szCs w:val="32"/>
          <w:highlight w:val="none"/>
          <w:lang w:eastAsia="zh-CN"/>
        </w:rPr>
        <w:t>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eastAsia="zh-CN"/>
        </w:rPr>
        <w:t>（九）关于衢州市财政国库支付中心</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sz w:val="32"/>
          <w:szCs w:val="32"/>
          <w:highlight w:val="none"/>
        </w:rPr>
        <w:t>“三公”经费预算情况</w:t>
      </w:r>
      <w:r>
        <w:rPr>
          <w:rFonts w:hint="eastAsia" w:ascii="楷体_GB2312" w:hAnsi="楷体_GB2312" w:eastAsia="楷体_GB2312" w:cs="楷体_GB2312"/>
          <w:b w:val="0"/>
          <w:bCs/>
          <w:sz w:val="32"/>
          <w:szCs w:val="32"/>
          <w:highlight w:val="none"/>
          <w:lang w:eastAsia="zh-CN"/>
        </w:rPr>
        <w:t>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pStyle w:val="18"/>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9"/>
          <w:rFonts w:hint="eastAsia" w:ascii="黑体" w:hAnsi="Calibri" w:eastAsia="黑体" w:cs="Times New Roman"/>
          <w:b w:val="0"/>
          <w:color w:val="000000"/>
          <w:kern w:val="2"/>
          <w:sz w:val="32"/>
          <w:szCs w:val="32"/>
          <w:highlight w:val="none"/>
          <w:lang w:val="en-US" w:eastAsia="zh-CN" w:bidi="ar-SA"/>
        </w:rPr>
      </w:pPr>
      <w:r>
        <w:rPr>
          <w:rStyle w:val="9"/>
          <w:rFonts w:hint="eastAsia" w:ascii="黑体" w:hAnsi="Calibri" w:eastAsia="黑体" w:cs="Times New Roman"/>
          <w:b w:val="0"/>
          <w:color w:val="000000"/>
          <w:kern w:val="2"/>
          <w:sz w:val="32"/>
          <w:szCs w:val="32"/>
          <w:highlight w:val="none"/>
          <w:lang w:val="en-US" w:eastAsia="zh-CN" w:bidi="ar-SA"/>
        </w:rPr>
        <w:t>三、名词解释</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9"/>
          <w:rFonts w:hint="eastAsia" w:ascii="黑体" w:eastAsia="黑体"/>
          <w:b w:val="0"/>
          <w:color w:val="000000"/>
          <w:sz w:val="32"/>
          <w:szCs w:val="32"/>
          <w:highlight w:val="none"/>
          <w:lang w:eastAsia="zh-CN"/>
        </w:rPr>
      </w:pPr>
      <w:r>
        <w:rPr>
          <w:rStyle w:val="9"/>
          <w:rFonts w:hint="eastAsia" w:ascii="黑体" w:eastAsia="黑体"/>
          <w:b w:val="0"/>
          <w:color w:val="000000"/>
          <w:sz w:val="32"/>
          <w:szCs w:val="32"/>
          <w:highlight w:val="none"/>
          <w:lang w:eastAsia="zh-CN"/>
        </w:rPr>
        <w:t>四、</w:t>
      </w:r>
      <w:r>
        <w:rPr>
          <w:rStyle w:val="9"/>
          <w:rFonts w:hint="eastAsia" w:ascii="黑体" w:eastAsia="黑体"/>
          <w:b w:val="0"/>
          <w:color w:val="000000"/>
          <w:sz w:val="32"/>
          <w:szCs w:val="32"/>
          <w:highlight w:val="none"/>
          <w:lang w:val="en-US" w:eastAsia="zh-CN"/>
        </w:rPr>
        <w:t>2022</w:t>
      </w:r>
      <w:r>
        <w:rPr>
          <w:rStyle w:val="9"/>
          <w:rFonts w:hint="eastAsia" w:ascii="黑体" w:eastAsia="黑体"/>
          <w:b w:val="0"/>
          <w:color w:val="000000"/>
          <w:sz w:val="32"/>
          <w:szCs w:val="32"/>
          <w:highlight w:val="none"/>
        </w:rPr>
        <w:t>年</w:t>
      </w:r>
      <w:r>
        <w:rPr>
          <w:rStyle w:val="9"/>
          <w:rFonts w:hint="eastAsia" w:ascii="黑体" w:eastAsia="黑体"/>
          <w:b w:val="0"/>
          <w:color w:val="000000"/>
          <w:sz w:val="32"/>
          <w:szCs w:val="32"/>
          <w:highlight w:val="none"/>
          <w:lang w:eastAsia="zh-CN"/>
        </w:rPr>
        <w:t>衢州市财政国库支付中心部门预算表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（一）2022年市级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（二）2022年市级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收入预算总表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（三）2022年</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支出预算总表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（四）2022年市级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财政拨款收支预算总表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（五）2022年市级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一般公共预算支出表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（六）2022年市级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一般公共预算基本支出表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（七）2022年市级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一般公共预算“三公”经费支出表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（八）2022年市级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政府性基金预算支出表</w:t>
      </w:r>
    </w:p>
    <w:p>
      <w:pPr>
        <w:pStyle w:val="2"/>
        <w:rPr>
          <w:rFonts w:hint="default"/>
          <w:highlight w:val="none"/>
          <w:lang w:val="en-US" w:eastAsia="zh-CN"/>
        </w:rPr>
      </w:pPr>
      <w:r>
        <w:rPr>
          <w:rFonts w:hint="eastAsia" w:ascii="楷体_GB2312" w:hAnsi="楷体_GB2312" w:eastAsia="楷体_GB2312" w:cs="楷体_GB2312"/>
          <w:b w:val="0"/>
          <w:bCs/>
          <w:sz w:val="32"/>
          <w:szCs w:val="32"/>
          <w:highlight w:val="none"/>
          <w:lang w:val="en-US" w:eastAsia="zh-CN"/>
        </w:rPr>
        <w:t xml:space="preserve">   （九）2022年市级部门国有资本经营预算支出表</w:t>
      </w:r>
    </w:p>
    <w:p>
      <w:pPr>
        <w:autoSpaceDE w:val="0"/>
        <w:autoSpaceDN w:val="0"/>
        <w:adjustRightInd w:val="0"/>
        <w:ind w:leftChars="200"/>
        <w:jc w:val="left"/>
        <w:rPr>
          <w:rFonts w:hint="default"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（十）2022年市级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项目支出预算表</w:t>
      </w:r>
    </w:p>
    <w:p>
      <w:pPr>
        <w:autoSpaceDE w:val="0"/>
        <w:autoSpaceDN w:val="0"/>
        <w:adjustRightInd w:val="0"/>
        <w:ind w:leftChars="200"/>
        <w:jc w:val="left"/>
        <w:rPr>
          <w:rFonts w:hint="default"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（十一）2022年市级部门预算财政拨款重点项目支出预算表</w:t>
      </w:r>
    </w:p>
    <w:p>
      <w:pPr>
        <w:pStyle w:val="2"/>
        <w:rPr>
          <w:rFonts w:hint="eastAsia"/>
          <w:highlight w:val="none"/>
          <w:lang w:eastAsia="zh-CN"/>
        </w:rPr>
      </w:pPr>
    </w:p>
    <w:p>
      <w:pPr>
        <w:pStyle w:val="2"/>
        <w:rPr>
          <w:rStyle w:val="9"/>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val="0"/>
        <w:spacing w:line="540" w:lineRule="exact"/>
        <w:ind w:right="0" w:rightChars="0" w:firstLine="627" w:firstLineChars="196"/>
        <w:textAlignment w:val="auto"/>
        <w:outlineLvl w:val="9"/>
        <w:rPr>
          <w:rStyle w:val="9"/>
          <w:rFonts w:hint="eastAsia" w:ascii="黑体" w:eastAsia="黑体"/>
          <w:b w:val="0"/>
          <w:color w:val="000000"/>
          <w:sz w:val="32"/>
          <w:szCs w:val="32"/>
          <w:highlight w:val="none"/>
        </w:rPr>
      </w:pPr>
    </w:p>
    <w:p>
      <w:pPr>
        <w:keepNext w:val="0"/>
        <w:keepLines w:val="0"/>
        <w:pageBreakBefore w:val="0"/>
        <w:kinsoku/>
        <w:wordWrap/>
        <w:overflowPunct/>
        <w:topLinePunct w:val="0"/>
        <w:autoSpaceDE/>
        <w:autoSpaceDN/>
        <w:bidi w:val="0"/>
        <w:adjustRightInd/>
        <w:snapToGrid w:val="0"/>
        <w:spacing w:line="540" w:lineRule="exact"/>
        <w:ind w:right="0" w:rightChars="0" w:firstLine="627" w:firstLineChars="196"/>
        <w:textAlignment w:val="auto"/>
        <w:outlineLvl w:val="9"/>
        <w:rPr>
          <w:rStyle w:val="9"/>
          <w:rFonts w:hint="eastAsia" w:ascii="黑体" w:eastAsia="黑体"/>
          <w:b w:val="0"/>
          <w:color w:val="000000"/>
          <w:sz w:val="32"/>
          <w:szCs w:val="32"/>
          <w:highlight w:val="none"/>
        </w:rPr>
      </w:pPr>
    </w:p>
    <w:p>
      <w:pPr>
        <w:keepNext w:val="0"/>
        <w:keepLines w:val="0"/>
        <w:pageBreakBefore w:val="0"/>
        <w:kinsoku/>
        <w:wordWrap/>
        <w:overflowPunct/>
        <w:topLinePunct w:val="0"/>
        <w:autoSpaceDE/>
        <w:autoSpaceDN/>
        <w:bidi w:val="0"/>
        <w:adjustRightInd/>
        <w:snapToGrid w:val="0"/>
        <w:spacing w:line="540" w:lineRule="exact"/>
        <w:ind w:right="0" w:rightChars="0" w:firstLine="627" w:firstLineChars="196"/>
        <w:textAlignment w:val="auto"/>
        <w:outlineLvl w:val="9"/>
        <w:rPr>
          <w:rStyle w:val="9"/>
          <w:rFonts w:hint="eastAsia" w:ascii="黑体" w:eastAsia="黑体"/>
          <w:b w:val="0"/>
          <w:color w:val="000000"/>
          <w:sz w:val="32"/>
          <w:szCs w:val="32"/>
          <w:highlight w:val="none"/>
        </w:rPr>
      </w:pPr>
    </w:p>
    <w:p>
      <w:pPr>
        <w:keepNext w:val="0"/>
        <w:keepLines w:val="0"/>
        <w:pageBreakBefore w:val="0"/>
        <w:kinsoku/>
        <w:wordWrap/>
        <w:overflowPunct/>
        <w:topLinePunct w:val="0"/>
        <w:autoSpaceDE/>
        <w:autoSpaceDN/>
        <w:bidi w:val="0"/>
        <w:adjustRightInd/>
        <w:snapToGrid w:val="0"/>
        <w:spacing w:line="540" w:lineRule="exact"/>
        <w:ind w:right="0" w:rightChars="0" w:firstLine="627" w:firstLineChars="196"/>
        <w:textAlignment w:val="auto"/>
        <w:outlineLvl w:val="9"/>
        <w:rPr>
          <w:rStyle w:val="9"/>
          <w:rFonts w:hint="eastAsia" w:ascii="黑体" w:eastAsia="黑体"/>
          <w:b w:val="0"/>
          <w:color w:val="000000"/>
          <w:sz w:val="32"/>
          <w:szCs w:val="32"/>
          <w:highlight w:val="none"/>
        </w:rPr>
      </w:pPr>
    </w:p>
    <w:p>
      <w:pPr>
        <w:keepNext w:val="0"/>
        <w:keepLines w:val="0"/>
        <w:pageBreakBefore w:val="0"/>
        <w:kinsoku/>
        <w:wordWrap/>
        <w:overflowPunct/>
        <w:topLinePunct w:val="0"/>
        <w:autoSpaceDE/>
        <w:autoSpaceDN/>
        <w:bidi w:val="0"/>
        <w:adjustRightInd/>
        <w:snapToGrid w:val="0"/>
        <w:spacing w:line="540" w:lineRule="exact"/>
        <w:ind w:right="0" w:rightChars="0" w:firstLine="627" w:firstLineChars="196"/>
        <w:textAlignment w:val="auto"/>
        <w:outlineLvl w:val="9"/>
        <w:rPr>
          <w:rStyle w:val="9"/>
          <w:rFonts w:hint="eastAsia" w:ascii="黑体" w:eastAsia="黑体"/>
          <w:b w:val="0"/>
          <w:color w:val="000000"/>
          <w:sz w:val="32"/>
          <w:szCs w:val="32"/>
          <w:highlight w:val="none"/>
        </w:rPr>
      </w:pPr>
    </w:p>
    <w:p>
      <w:pPr>
        <w:keepNext w:val="0"/>
        <w:keepLines w:val="0"/>
        <w:pageBreakBefore w:val="0"/>
        <w:kinsoku/>
        <w:wordWrap/>
        <w:overflowPunct/>
        <w:topLinePunct w:val="0"/>
        <w:autoSpaceDE/>
        <w:autoSpaceDN/>
        <w:bidi w:val="0"/>
        <w:adjustRightInd/>
        <w:snapToGrid w:val="0"/>
        <w:spacing w:line="540" w:lineRule="exact"/>
        <w:ind w:right="0" w:rightChars="0" w:firstLine="627" w:firstLineChars="196"/>
        <w:textAlignment w:val="auto"/>
        <w:outlineLvl w:val="9"/>
        <w:rPr>
          <w:rStyle w:val="9"/>
          <w:rFonts w:hint="eastAsia" w:ascii="黑体" w:eastAsia="黑体"/>
          <w:b w:val="0"/>
          <w:color w:val="000000"/>
          <w:sz w:val="32"/>
          <w:szCs w:val="32"/>
          <w:highlight w:val="none"/>
        </w:rPr>
      </w:pPr>
    </w:p>
    <w:p>
      <w:pPr>
        <w:keepNext w:val="0"/>
        <w:keepLines w:val="0"/>
        <w:pageBreakBefore w:val="0"/>
        <w:kinsoku/>
        <w:wordWrap/>
        <w:overflowPunct/>
        <w:topLinePunct w:val="0"/>
        <w:autoSpaceDE/>
        <w:autoSpaceDN/>
        <w:bidi w:val="0"/>
        <w:adjustRightInd/>
        <w:snapToGrid w:val="0"/>
        <w:spacing w:line="540" w:lineRule="exact"/>
        <w:ind w:right="0" w:rightChars="0" w:firstLine="627" w:firstLineChars="196"/>
        <w:textAlignment w:val="auto"/>
        <w:outlineLvl w:val="9"/>
        <w:rPr>
          <w:rStyle w:val="9"/>
          <w:rFonts w:hint="eastAsia" w:ascii="黑体" w:eastAsia="黑体"/>
          <w:b w:val="0"/>
          <w:color w:val="000000"/>
          <w:sz w:val="32"/>
          <w:szCs w:val="32"/>
          <w:highlight w:val="none"/>
        </w:rPr>
      </w:pPr>
      <w:r>
        <w:rPr>
          <w:rStyle w:val="9"/>
          <w:rFonts w:hint="eastAsia" w:ascii="黑体" w:eastAsia="黑体"/>
          <w:b w:val="0"/>
          <w:color w:val="000000"/>
          <w:sz w:val="32"/>
          <w:szCs w:val="32"/>
          <w:highlight w:val="none"/>
        </w:rPr>
        <w:t>一、</w:t>
      </w:r>
      <w:r>
        <w:rPr>
          <w:rStyle w:val="9"/>
          <w:rFonts w:hint="eastAsia" w:ascii="黑体" w:eastAsia="黑体"/>
          <w:b w:val="0"/>
          <w:color w:val="000000"/>
          <w:sz w:val="32"/>
          <w:szCs w:val="32"/>
          <w:highlight w:val="none"/>
          <w:lang w:eastAsia="zh-CN"/>
        </w:rPr>
        <w:t>衢州市财政国库支付中心</w:t>
      </w:r>
      <w:r>
        <w:rPr>
          <w:rStyle w:val="9"/>
          <w:rFonts w:hint="eastAsia" w:ascii="黑体" w:eastAsia="黑体"/>
          <w:b w:val="0"/>
          <w:color w:val="000000"/>
          <w:sz w:val="32"/>
          <w:szCs w:val="32"/>
          <w:highlight w:val="none"/>
        </w:rPr>
        <w:t>概况</w:t>
      </w:r>
    </w:p>
    <w:p>
      <w:pPr>
        <w:keepNext w:val="0"/>
        <w:keepLines w:val="0"/>
        <w:pageBreakBefore w:val="0"/>
        <w:kinsoku/>
        <w:wordWrap/>
        <w:overflowPunct/>
        <w:topLinePunct w:val="0"/>
        <w:autoSpaceDE/>
        <w:autoSpaceDN/>
        <w:bidi w:val="0"/>
        <w:adjustRightInd/>
        <w:snapToGrid w:val="0"/>
        <w:spacing w:line="540" w:lineRule="exact"/>
        <w:ind w:right="0" w:rightChars="0" w:firstLine="630" w:firstLineChars="196"/>
        <w:textAlignment w:val="auto"/>
        <w:outlineLvl w:val="9"/>
        <w:rPr>
          <w:rFonts w:hint="eastAsia" w:ascii="楷体_GB2312" w:hAnsi="楷体_GB2312" w:eastAsia="楷体_GB2312" w:cs="楷体_GB2312"/>
          <w:b/>
          <w:bCs w:val="0"/>
          <w:sz w:val="32"/>
          <w:szCs w:val="32"/>
          <w:highlight w:val="none"/>
        </w:rPr>
      </w:pPr>
      <w:r>
        <w:rPr>
          <w:rFonts w:hint="eastAsia" w:ascii="楷体_GB2312" w:hAnsi="楷体_GB2312" w:eastAsia="楷体_GB2312" w:cs="楷体_GB2312"/>
          <w:b/>
          <w:bCs w:val="0"/>
          <w:sz w:val="32"/>
          <w:szCs w:val="32"/>
          <w:highlight w:val="none"/>
        </w:rPr>
        <w:t>（一）主要职能</w:t>
      </w:r>
    </w:p>
    <w:p>
      <w:pPr>
        <w:spacing w:before="62" w:beforeLines="20" w:line="500" w:lineRule="exact"/>
        <w:ind w:firstLine="640" w:firstLineChars="200"/>
        <w:rPr>
          <w:rFonts w:hint="eastAsia" w:ascii="仿宋" w:hAnsi="仿宋" w:eastAsia="仿宋" w:cs="仿宋_GB2312"/>
          <w:sz w:val="32"/>
          <w:szCs w:val="32"/>
          <w:highlight w:val="none"/>
        </w:rPr>
      </w:pPr>
      <w:r>
        <w:rPr>
          <w:rFonts w:hint="eastAsia" w:ascii="仿宋_GB2312" w:eastAsia="仿宋_GB2312"/>
          <w:bCs/>
          <w:sz w:val="32"/>
          <w:szCs w:val="32"/>
          <w:highlight w:val="none"/>
        </w:rPr>
        <w:t xml:space="preserve">1. </w:t>
      </w:r>
      <w:r>
        <w:rPr>
          <w:rFonts w:hint="eastAsia" w:ascii="仿宋" w:hAnsi="仿宋" w:eastAsia="仿宋" w:cs="仿宋_GB2312"/>
          <w:sz w:val="32"/>
          <w:szCs w:val="32"/>
          <w:highlight w:val="none"/>
        </w:rPr>
        <w:t>承担市级预算单位财政直接支付、其他支付的审核、支付、清算、对账等工作。</w:t>
      </w:r>
    </w:p>
    <w:p>
      <w:pPr>
        <w:spacing w:before="62" w:beforeLines="20" w:line="500" w:lineRule="exact"/>
        <w:ind w:firstLine="640" w:firstLineChars="200"/>
        <w:rPr>
          <w:rFonts w:hint="eastAsia" w:ascii="仿宋" w:hAnsi="仿宋" w:eastAsia="仿宋" w:cs="仿宋_GB2312"/>
          <w:sz w:val="32"/>
          <w:szCs w:val="32"/>
          <w:highlight w:val="none"/>
        </w:rPr>
      </w:pPr>
      <w:r>
        <w:rPr>
          <w:rFonts w:hint="eastAsia" w:ascii="仿宋" w:hAnsi="仿宋" w:eastAsia="仿宋" w:cs="仿宋_GB2312"/>
          <w:sz w:val="32"/>
          <w:szCs w:val="32"/>
          <w:highlight w:val="none"/>
          <w:lang w:val="en-US" w:eastAsia="zh-CN"/>
        </w:rPr>
        <w:t>2.</w:t>
      </w:r>
      <w:r>
        <w:rPr>
          <w:rFonts w:hint="eastAsia" w:ascii="仿宋" w:hAnsi="仿宋" w:eastAsia="仿宋" w:cs="仿宋_GB2312"/>
          <w:sz w:val="32"/>
          <w:szCs w:val="32"/>
          <w:highlight w:val="none"/>
        </w:rPr>
        <w:t>负责市级预算单位工资、奖金、津贴补贴、绩效工资的审核、发放工作。</w:t>
      </w:r>
    </w:p>
    <w:p>
      <w:pPr>
        <w:spacing w:before="62" w:beforeLines="20" w:line="500" w:lineRule="exact"/>
        <w:ind w:firstLine="640" w:firstLineChars="200"/>
        <w:rPr>
          <w:rFonts w:hint="eastAsia" w:ascii="仿宋" w:hAnsi="仿宋" w:eastAsia="仿宋" w:cs="仿宋_GB2312"/>
          <w:sz w:val="32"/>
          <w:szCs w:val="32"/>
          <w:highlight w:val="none"/>
        </w:rPr>
      </w:pPr>
      <w:r>
        <w:rPr>
          <w:rFonts w:hint="eastAsia" w:ascii="仿宋" w:hAnsi="仿宋" w:eastAsia="仿宋" w:cs="仿宋_GB2312"/>
          <w:sz w:val="32"/>
          <w:szCs w:val="32"/>
          <w:highlight w:val="none"/>
          <w:lang w:val="en-US" w:eastAsia="zh-CN"/>
        </w:rPr>
        <w:t>3.</w:t>
      </w:r>
      <w:r>
        <w:rPr>
          <w:rFonts w:hint="eastAsia" w:ascii="仿宋" w:hAnsi="仿宋" w:eastAsia="仿宋" w:cs="仿宋_GB2312"/>
          <w:sz w:val="32"/>
          <w:szCs w:val="32"/>
          <w:highlight w:val="none"/>
        </w:rPr>
        <w:t>负责市级预算单位国库授权支付业务的动态监控工作。</w:t>
      </w:r>
    </w:p>
    <w:p>
      <w:pPr>
        <w:spacing w:before="62" w:beforeLines="20" w:line="500" w:lineRule="exact"/>
        <w:ind w:firstLine="640" w:firstLineChars="200"/>
        <w:rPr>
          <w:rFonts w:hint="eastAsia" w:ascii="仿宋" w:hAnsi="仿宋" w:eastAsia="仿宋" w:cs="仿宋_GB2312"/>
          <w:sz w:val="32"/>
          <w:szCs w:val="32"/>
          <w:highlight w:val="none"/>
        </w:rPr>
      </w:pPr>
      <w:r>
        <w:rPr>
          <w:rFonts w:hint="eastAsia" w:ascii="仿宋" w:hAnsi="仿宋" w:eastAsia="仿宋" w:cs="仿宋_GB2312"/>
          <w:sz w:val="32"/>
          <w:szCs w:val="32"/>
          <w:highlight w:val="none"/>
          <w:lang w:val="en-US" w:eastAsia="zh-CN"/>
        </w:rPr>
        <w:t>4.</w:t>
      </w:r>
      <w:r>
        <w:rPr>
          <w:rFonts w:hint="eastAsia" w:ascii="仿宋" w:hAnsi="仿宋" w:eastAsia="仿宋" w:cs="仿宋_GB2312"/>
          <w:sz w:val="32"/>
          <w:szCs w:val="32"/>
          <w:highlight w:val="none"/>
        </w:rPr>
        <w:t>负责行政事业单位财务核算云服务平台的运维管理工作。</w:t>
      </w:r>
    </w:p>
    <w:p>
      <w:pPr>
        <w:spacing w:before="62" w:beforeLines="20" w:line="500" w:lineRule="exact"/>
        <w:ind w:firstLine="640" w:firstLineChars="200"/>
        <w:rPr>
          <w:rFonts w:hint="eastAsia" w:ascii="仿宋" w:hAnsi="仿宋" w:eastAsia="仿宋" w:cs="仿宋_GB2312"/>
          <w:sz w:val="32"/>
          <w:szCs w:val="32"/>
          <w:highlight w:val="none"/>
        </w:rPr>
      </w:pPr>
      <w:r>
        <w:rPr>
          <w:rFonts w:hint="eastAsia" w:ascii="仿宋" w:hAnsi="仿宋" w:eastAsia="仿宋" w:cs="仿宋_GB2312"/>
          <w:sz w:val="32"/>
          <w:szCs w:val="32"/>
          <w:highlight w:val="none"/>
          <w:lang w:val="en-US" w:eastAsia="zh-CN"/>
        </w:rPr>
        <w:t>5.</w:t>
      </w:r>
      <w:r>
        <w:rPr>
          <w:rFonts w:hint="eastAsia" w:ascii="仿宋" w:hAnsi="仿宋" w:eastAsia="仿宋" w:cs="仿宋_GB2312"/>
          <w:sz w:val="32"/>
          <w:szCs w:val="32"/>
          <w:highlight w:val="none"/>
        </w:rPr>
        <w:t>承担市级财政“资金池”资金归集、支付、会计核算和公款竞争性存放相关管理工作。</w:t>
      </w:r>
    </w:p>
    <w:p>
      <w:pPr>
        <w:spacing w:before="62" w:beforeLines="20" w:line="500" w:lineRule="exact"/>
        <w:ind w:firstLine="640" w:firstLineChars="200"/>
        <w:rPr>
          <w:rFonts w:hint="eastAsia" w:ascii="仿宋_GB2312" w:eastAsia="仿宋_GB2312"/>
          <w:bCs/>
          <w:sz w:val="32"/>
          <w:szCs w:val="32"/>
          <w:highlight w:val="none"/>
        </w:rPr>
      </w:pPr>
      <w:r>
        <w:rPr>
          <w:rFonts w:hint="eastAsia" w:ascii="仿宋" w:hAnsi="仿宋" w:eastAsia="仿宋" w:cs="仿宋_GB2312"/>
          <w:sz w:val="32"/>
          <w:szCs w:val="32"/>
          <w:highlight w:val="none"/>
          <w:lang w:val="en-US" w:eastAsia="zh-CN"/>
        </w:rPr>
        <w:t>6.</w:t>
      </w:r>
      <w:r>
        <w:rPr>
          <w:rFonts w:hint="eastAsia" w:ascii="仿宋" w:hAnsi="仿宋" w:eastAsia="仿宋" w:cs="仿宋_GB2312"/>
          <w:sz w:val="32"/>
          <w:szCs w:val="32"/>
          <w:highlight w:val="none"/>
        </w:rPr>
        <w:t>完成</w:t>
      </w:r>
      <w:r>
        <w:rPr>
          <w:rFonts w:hint="eastAsia" w:ascii="仿宋" w:hAnsi="仿宋" w:eastAsia="仿宋" w:cs="仿宋_GB2312"/>
          <w:sz w:val="32"/>
          <w:szCs w:val="32"/>
          <w:highlight w:val="none"/>
          <w:lang w:eastAsia="zh-CN"/>
        </w:rPr>
        <w:t>衢州市财政国库支付中心</w:t>
      </w:r>
      <w:r>
        <w:rPr>
          <w:rFonts w:hint="eastAsia" w:ascii="仿宋" w:hAnsi="仿宋" w:eastAsia="仿宋" w:cs="仿宋_GB2312"/>
          <w:sz w:val="32"/>
          <w:szCs w:val="32"/>
          <w:highlight w:val="none"/>
        </w:rPr>
        <w:t>交办的其他任务。</w:t>
      </w:r>
    </w:p>
    <w:p>
      <w:pPr>
        <w:keepNext w:val="0"/>
        <w:keepLines w:val="0"/>
        <w:pageBreakBefore w:val="0"/>
        <w:kinsoku/>
        <w:wordWrap/>
        <w:overflowPunct/>
        <w:topLinePunct w:val="0"/>
        <w:autoSpaceDE/>
        <w:autoSpaceDN/>
        <w:bidi w:val="0"/>
        <w:adjustRightInd/>
        <w:snapToGrid w:val="0"/>
        <w:spacing w:line="540" w:lineRule="exact"/>
        <w:ind w:right="0" w:rightChars="0" w:firstLine="630" w:firstLineChars="196"/>
        <w:textAlignment w:val="auto"/>
        <w:outlineLvl w:val="9"/>
        <w:rPr>
          <w:rFonts w:hint="eastAsia" w:ascii="楷体_GB2312" w:hAnsi="楷体_GB2312" w:eastAsia="楷体_GB2312" w:cs="楷体_GB2312"/>
          <w:b/>
          <w:bCs w:val="0"/>
          <w:sz w:val="32"/>
          <w:szCs w:val="32"/>
          <w:highlight w:val="none"/>
          <w:lang w:eastAsia="zh-CN"/>
        </w:rPr>
      </w:pPr>
      <w:r>
        <w:rPr>
          <w:rFonts w:hint="eastAsia" w:ascii="楷体_GB2312" w:hAnsi="楷体_GB2312" w:eastAsia="楷体_GB2312" w:cs="楷体_GB2312"/>
          <w:b/>
          <w:bCs w:val="0"/>
          <w:sz w:val="32"/>
          <w:szCs w:val="32"/>
          <w:highlight w:val="none"/>
        </w:rPr>
        <w:t>（二）部门</w:t>
      </w:r>
      <w:r>
        <w:rPr>
          <w:rFonts w:hint="eastAsia" w:ascii="楷体_GB2312" w:hAnsi="楷体_GB2312" w:eastAsia="楷体_GB2312" w:cs="楷体_GB2312"/>
          <w:b/>
          <w:bCs w:val="0"/>
          <w:sz w:val="32"/>
          <w:szCs w:val="32"/>
          <w:highlight w:val="none"/>
          <w:lang w:eastAsia="zh-CN"/>
        </w:rPr>
        <w:t>（单位）机构设置情况</w:t>
      </w:r>
    </w:p>
    <w:p>
      <w:pPr>
        <w:spacing w:before="62" w:beforeLines="20" w:line="500" w:lineRule="exact"/>
        <w:ind w:firstLine="640" w:firstLineChars="200"/>
        <w:rPr>
          <w:rFonts w:hint="eastAsia" w:ascii="仿宋_GB2312" w:eastAsia="仿宋_GB2312"/>
          <w:bCs/>
          <w:sz w:val="32"/>
          <w:szCs w:val="32"/>
          <w:highlight w:val="none"/>
          <w:lang w:eastAsia="zh-CN"/>
        </w:rPr>
      </w:pPr>
      <w:r>
        <w:rPr>
          <w:rFonts w:hint="eastAsia" w:ascii="仿宋_GB2312" w:eastAsia="仿宋_GB2312"/>
          <w:bCs/>
          <w:sz w:val="32"/>
          <w:szCs w:val="32"/>
          <w:highlight w:val="none"/>
          <w:lang w:eastAsia="zh-CN"/>
        </w:rPr>
        <w:t>衢州市财政国库支付中心</w:t>
      </w:r>
      <w:r>
        <w:rPr>
          <w:rFonts w:hint="eastAsia" w:ascii="仿宋" w:hAnsi="仿宋" w:eastAsia="仿宋" w:cs="仿宋_GB2312"/>
          <w:sz w:val="32"/>
          <w:szCs w:val="32"/>
          <w:highlight w:val="none"/>
        </w:rPr>
        <w:t>内设6个科，分别为综合科、受理科、动态监控科、核算科、资金结算科。</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0" w:firstLineChars="0"/>
        <w:textAlignment w:val="auto"/>
        <w:outlineLvl w:val="9"/>
        <w:rPr>
          <w:rFonts w:hint="eastAsia" w:ascii="楷体_GB2312" w:hAnsi="楷体_GB2312" w:eastAsia="楷体_GB2312" w:cs="楷体_GB2312"/>
          <w:b w:val="0"/>
          <w:bCs w:val="0"/>
          <w:color w:val="000000"/>
          <w:sz w:val="32"/>
          <w:szCs w:val="32"/>
          <w:highlight w:val="none"/>
        </w:rPr>
      </w:pPr>
      <w:r>
        <w:rPr>
          <w:rStyle w:val="9"/>
          <w:rFonts w:hint="eastAsia" w:ascii="黑体" w:eastAsia="黑体"/>
          <w:b w:val="0"/>
          <w:color w:val="000000"/>
          <w:sz w:val="32"/>
          <w:szCs w:val="32"/>
          <w:highlight w:val="none"/>
          <w:lang w:val="en-US" w:eastAsia="zh-CN"/>
        </w:rPr>
        <w:t xml:space="preserve">  </w:t>
      </w:r>
      <w:r>
        <w:rPr>
          <w:rStyle w:val="9"/>
          <w:rFonts w:hint="eastAsia" w:ascii="黑体" w:eastAsia="黑体"/>
          <w:b w:val="0"/>
          <w:color w:val="000000"/>
          <w:sz w:val="32"/>
          <w:szCs w:val="32"/>
          <w:highlight w:val="none"/>
          <w:lang w:eastAsia="zh-CN"/>
        </w:rPr>
        <w:t>二、衢州市财政国库支付中心</w:t>
      </w:r>
      <w:r>
        <w:rPr>
          <w:rStyle w:val="9"/>
          <w:rFonts w:hint="eastAsia" w:ascii="黑体" w:eastAsia="黑体"/>
          <w:b w:val="0"/>
          <w:color w:val="000000"/>
          <w:sz w:val="32"/>
          <w:szCs w:val="32"/>
          <w:highlight w:val="none"/>
          <w:lang w:val="en-US" w:eastAsia="zh-CN"/>
        </w:rPr>
        <w:t>2022</w:t>
      </w:r>
      <w:r>
        <w:rPr>
          <w:rStyle w:val="9"/>
          <w:rFonts w:hint="eastAsia" w:ascii="黑体" w:eastAsia="黑体"/>
          <w:b w:val="0"/>
          <w:color w:val="000000"/>
          <w:sz w:val="32"/>
          <w:szCs w:val="32"/>
          <w:highlight w:val="none"/>
        </w:rPr>
        <w:t>年部门</w:t>
      </w:r>
      <w:r>
        <w:rPr>
          <w:rStyle w:val="9"/>
          <w:rFonts w:hint="eastAsia" w:ascii="黑体" w:eastAsia="黑体"/>
          <w:b w:val="0"/>
          <w:color w:val="000000"/>
          <w:sz w:val="32"/>
          <w:szCs w:val="32"/>
          <w:highlight w:val="none"/>
          <w:lang w:eastAsia="zh-CN"/>
        </w:rPr>
        <w:t>（单位）</w:t>
      </w:r>
      <w:r>
        <w:rPr>
          <w:rStyle w:val="9"/>
          <w:rFonts w:hint="eastAsia" w:ascii="黑体" w:eastAsia="黑体"/>
          <w:b w:val="0"/>
          <w:color w:val="000000"/>
          <w:sz w:val="32"/>
          <w:szCs w:val="32"/>
          <w:highlight w:val="none"/>
        </w:rPr>
        <w:t>预算安排情况说明</w:t>
      </w:r>
      <w:r>
        <w:rPr>
          <w:rFonts w:hint="eastAsia"/>
          <w:color w:val="000000"/>
          <w:sz w:val="32"/>
          <w:szCs w:val="32"/>
          <w:highlight w:val="none"/>
        </w:rPr>
        <w:br w:type="textWrapping"/>
      </w:r>
      <w:r>
        <w:rPr>
          <w:rFonts w:hint="eastAsia" w:ascii="仿宋_GB2312" w:eastAsia="仿宋_GB2312"/>
          <w:b w:val="0"/>
          <w:bCs w:val="0"/>
          <w:color w:val="000000"/>
          <w:sz w:val="30"/>
          <w:szCs w:val="30"/>
          <w:highlight w:val="none"/>
        </w:rPr>
        <w:t>　　</w:t>
      </w:r>
      <w:r>
        <w:rPr>
          <w:rFonts w:hint="eastAsia" w:ascii="楷体_GB2312" w:hAnsi="楷体_GB2312" w:eastAsia="楷体_GB2312" w:cs="楷体_GB2312"/>
          <w:b/>
          <w:bCs/>
          <w:color w:val="000000"/>
          <w:sz w:val="32"/>
          <w:szCs w:val="32"/>
          <w:highlight w:val="none"/>
        </w:rPr>
        <w:t>（一）</w:t>
      </w:r>
      <w:r>
        <w:rPr>
          <w:rFonts w:hint="eastAsia" w:ascii="楷体_GB2312" w:hAnsi="楷体_GB2312" w:eastAsia="楷体_GB2312" w:cs="楷体_GB2312"/>
          <w:b/>
          <w:bCs/>
          <w:color w:val="000000"/>
          <w:sz w:val="32"/>
          <w:szCs w:val="32"/>
          <w:highlight w:val="none"/>
          <w:lang w:eastAsia="zh-CN"/>
        </w:rPr>
        <w:t>关于衢州市</w:t>
      </w:r>
      <w:r>
        <w:rPr>
          <w:rStyle w:val="9"/>
          <w:rFonts w:hint="eastAsia" w:ascii="楷体_GB2312" w:hAnsi="楷体_GB2312" w:eastAsia="楷体_GB2312" w:cs="楷体_GB2312"/>
          <w:b/>
          <w:bCs/>
          <w:color w:val="000000"/>
          <w:sz w:val="32"/>
          <w:szCs w:val="32"/>
          <w:highlight w:val="none"/>
          <w:lang w:eastAsia="zh-CN"/>
        </w:rPr>
        <w:t>财政国库支付中心</w:t>
      </w:r>
      <w:r>
        <w:rPr>
          <w:rStyle w:val="9"/>
          <w:rFonts w:hint="eastAsia" w:ascii="楷体_GB2312" w:hAnsi="楷体_GB2312" w:eastAsia="楷体_GB2312" w:cs="楷体_GB2312"/>
          <w:b/>
          <w:bCs/>
          <w:color w:val="000000"/>
          <w:sz w:val="32"/>
          <w:szCs w:val="32"/>
          <w:highlight w:val="none"/>
          <w:lang w:val="en-US" w:eastAsia="zh-CN"/>
        </w:rPr>
        <w:t>2022</w:t>
      </w:r>
      <w:r>
        <w:rPr>
          <w:rStyle w:val="9"/>
          <w:rFonts w:hint="eastAsia" w:ascii="楷体_GB2312" w:hAnsi="楷体_GB2312" w:eastAsia="楷体_GB2312" w:cs="楷体_GB2312"/>
          <w:b/>
          <w:bCs/>
          <w:color w:val="000000"/>
          <w:sz w:val="32"/>
          <w:szCs w:val="32"/>
          <w:highlight w:val="none"/>
        </w:rPr>
        <w:t>年</w:t>
      </w:r>
      <w:r>
        <w:rPr>
          <w:rStyle w:val="9"/>
          <w:rFonts w:hint="eastAsia" w:ascii="楷体_GB2312" w:hAnsi="楷体_GB2312" w:eastAsia="楷体_GB2312" w:cs="楷体_GB2312"/>
          <w:b/>
          <w:bCs/>
          <w:color w:val="000000"/>
          <w:sz w:val="32"/>
          <w:szCs w:val="32"/>
          <w:highlight w:val="none"/>
          <w:lang w:eastAsia="zh-CN"/>
        </w:rPr>
        <w:t>收支预算情况的总体说明</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0" w:firstLineChars="0"/>
        <w:textAlignment w:val="auto"/>
        <w:outlineLvl w:val="9"/>
        <w:rPr>
          <w:rFonts w:hint="eastAsia" w:ascii="楷体_GB2312" w:hAnsi="楷体_GB2312" w:eastAsia="楷体_GB2312" w:cs="楷体_GB2312"/>
          <w:b/>
          <w:color w:val="000000"/>
          <w:sz w:val="32"/>
          <w:szCs w:val="32"/>
          <w:highlight w:val="none"/>
          <w:lang w:val="en-US"/>
        </w:rPr>
      </w:pPr>
      <w:r>
        <w:rPr>
          <w:rFonts w:hint="eastAsia" w:ascii="楷体_GB2312" w:hAnsi="楷体_GB2312" w:eastAsia="楷体_GB2312" w:cs="楷体_GB2312"/>
          <w:b/>
          <w:color w:val="000000"/>
          <w:sz w:val="32"/>
          <w:szCs w:val="32"/>
          <w:highlight w:val="none"/>
          <w:lang w:val="en-US" w:eastAsia="zh-CN"/>
        </w:rPr>
        <w:t xml:space="preserve">   </w:t>
      </w:r>
      <w:r>
        <w:rPr>
          <w:rFonts w:hint="eastAsia" w:ascii="仿宋_GB2312" w:hAnsi="Times New Roman" w:eastAsia="仿宋_GB2312" w:cs="Times New Roman"/>
          <w:b w:val="0"/>
          <w:bCs/>
          <w:color w:val="000000"/>
          <w:sz w:val="32"/>
          <w:szCs w:val="32"/>
          <w:highlight w:val="none"/>
          <w:lang w:val="en-US" w:eastAsia="zh-CN"/>
        </w:rPr>
        <w:t xml:space="preserve"> 按照</w:t>
      </w:r>
      <w:r>
        <w:rPr>
          <w:rFonts w:hint="eastAsia" w:ascii="仿宋_GB2312" w:eastAsia="仿宋_GB2312" w:cs="Times New Roman"/>
          <w:b w:val="0"/>
          <w:bCs/>
          <w:sz w:val="32"/>
          <w:szCs w:val="32"/>
          <w:highlight w:val="none"/>
          <w:lang w:val="en-US" w:eastAsia="zh-CN"/>
        </w:rPr>
        <w:t>综合预算的原则，</w:t>
      </w:r>
      <w:r>
        <w:rPr>
          <w:rFonts w:hint="eastAsia" w:ascii="仿宋_GB2312" w:eastAsia="仿宋_GB2312"/>
          <w:color w:val="000000"/>
          <w:sz w:val="32"/>
          <w:szCs w:val="32"/>
          <w:highlight w:val="none"/>
          <w:lang w:eastAsia="zh-CN"/>
        </w:rPr>
        <w:t>衢州市财政国库支付中心所有收入和支出均纳入部门（单位）预算管理。收入包括：一般公共预算拨款收入、上年结转；支出包括：一般公共服务支出、社会保障和就业支出、住房保障支出。衢州市财政国库支付中心</w:t>
      </w:r>
      <w:r>
        <w:rPr>
          <w:rFonts w:hint="eastAsia" w:ascii="仿宋_GB2312" w:eastAsia="仿宋_GB2312"/>
          <w:color w:val="000000"/>
          <w:sz w:val="32"/>
          <w:szCs w:val="32"/>
          <w:highlight w:val="none"/>
          <w:lang w:val="en-US" w:eastAsia="zh-CN"/>
        </w:rPr>
        <w:t>2022年收支总预算1189.82万元。</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2" w:firstLineChars="0"/>
        <w:textAlignment w:val="auto"/>
        <w:outlineLvl w:val="9"/>
        <w:rPr>
          <w:rFonts w:hint="eastAsia" w:ascii="楷体_GB2312" w:hAnsi="楷体_GB2312" w:eastAsia="楷体_GB2312" w:cs="楷体_GB2312"/>
          <w:b/>
          <w:bCs w:val="0"/>
          <w:color w:val="000000"/>
          <w:sz w:val="32"/>
          <w:szCs w:val="32"/>
          <w:highlight w:val="none"/>
          <w:lang w:eastAsia="zh-CN"/>
        </w:rPr>
      </w:pPr>
      <w:r>
        <w:rPr>
          <w:rFonts w:hint="eastAsia" w:ascii="楷体_GB2312" w:hAnsi="楷体_GB2312" w:eastAsia="楷体_GB2312" w:cs="楷体_GB2312"/>
          <w:b/>
          <w:bCs w:val="0"/>
          <w:color w:val="000000"/>
          <w:sz w:val="32"/>
          <w:szCs w:val="32"/>
          <w:highlight w:val="none"/>
          <w:lang w:val="en-US" w:eastAsia="zh-CN"/>
        </w:rPr>
        <w:t>（二）</w:t>
      </w:r>
      <w:r>
        <w:rPr>
          <w:rFonts w:hint="eastAsia" w:ascii="楷体_GB2312" w:hAnsi="楷体_GB2312" w:eastAsia="楷体_GB2312" w:cs="楷体_GB2312"/>
          <w:b/>
          <w:bCs w:val="0"/>
          <w:color w:val="000000"/>
          <w:sz w:val="32"/>
          <w:szCs w:val="32"/>
          <w:highlight w:val="none"/>
          <w:lang w:eastAsia="zh-CN"/>
        </w:rPr>
        <w:t>关于衢州市财政国库支付中心</w:t>
      </w:r>
      <w:r>
        <w:rPr>
          <w:rFonts w:hint="eastAsia" w:ascii="楷体_GB2312" w:hAnsi="楷体_GB2312" w:eastAsia="楷体_GB2312" w:cs="楷体_GB2312"/>
          <w:b/>
          <w:bCs w:val="0"/>
          <w:color w:val="000000"/>
          <w:sz w:val="32"/>
          <w:szCs w:val="32"/>
          <w:highlight w:val="none"/>
          <w:lang w:val="en-US" w:eastAsia="zh-CN"/>
        </w:rPr>
        <w:t>2022</w:t>
      </w:r>
      <w:r>
        <w:rPr>
          <w:rFonts w:hint="eastAsia" w:ascii="楷体_GB2312" w:hAnsi="楷体_GB2312" w:eastAsia="楷体_GB2312" w:cs="楷体_GB2312"/>
          <w:b/>
          <w:bCs w:val="0"/>
          <w:color w:val="000000"/>
          <w:sz w:val="32"/>
          <w:szCs w:val="32"/>
          <w:highlight w:val="none"/>
        </w:rPr>
        <w:t>年收入预算</w:t>
      </w:r>
      <w:r>
        <w:rPr>
          <w:rFonts w:hint="eastAsia" w:ascii="楷体_GB2312" w:hAnsi="楷体_GB2312" w:eastAsia="楷体_GB2312" w:cs="楷体_GB2312"/>
          <w:b/>
          <w:bCs w:val="0"/>
          <w:color w:val="000000"/>
          <w:sz w:val="32"/>
          <w:szCs w:val="32"/>
          <w:highlight w:val="none"/>
          <w:lang w:eastAsia="zh-CN"/>
        </w:rPr>
        <w:t>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default" w:ascii="仿宋_GB2312" w:eastAsia="仿宋_GB2312"/>
          <w:color w:val="FF0000"/>
          <w:sz w:val="32"/>
          <w:szCs w:val="32"/>
          <w:highlight w:val="none"/>
          <w:lang w:val="en-US" w:eastAsia="zh-CN"/>
        </w:rPr>
      </w:pPr>
      <w:r>
        <w:rPr>
          <w:rFonts w:hint="eastAsia" w:ascii="仿宋_GB2312" w:eastAsia="仿宋_GB2312"/>
          <w:color w:val="000000"/>
          <w:sz w:val="32"/>
          <w:szCs w:val="32"/>
          <w:highlight w:val="none"/>
          <w:lang w:eastAsia="zh-CN"/>
        </w:rPr>
        <w:t>衢州市财政国库支付中心</w:t>
      </w:r>
      <w:r>
        <w:rPr>
          <w:rFonts w:hint="eastAsia" w:ascii="仿宋_GB2312" w:eastAsia="仿宋_GB2312"/>
          <w:color w:val="000000"/>
          <w:sz w:val="32"/>
          <w:szCs w:val="32"/>
          <w:highlight w:val="none"/>
          <w:lang w:val="en-US" w:eastAsia="zh-CN"/>
        </w:rPr>
        <w:t>2022</w:t>
      </w:r>
      <w:r>
        <w:rPr>
          <w:rFonts w:hint="eastAsia" w:ascii="仿宋_GB2312" w:eastAsia="仿宋_GB2312"/>
          <w:color w:val="000000"/>
          <w:sz w:val="32"/>
          <w:szCs w:val="32"/>
          <w:highlight w:val="none"/>
        </w:rPr>
        <w:t>年收入预算</w:t>
      </w:r>
      <w:r>
        <w:rPr>
          <w:rFonts w:hint="eastAsia" w:ascii="仿宋_GB2312" w:eastAsia="仿宋_GB2312"/>
          <w:color w:val="000000"/>
          <w:sz w:val="32"/>
          <w:szCs w:val="32"/>
          <w:highlight w:val="none"/>
          <w:lang w:val="en-US" w:eastAsia="zh-CN"/>
        </w:rPr>
        <w:t>1189.82</w:t>
      </w:r>
      <w:r>
        <w:rPr>
          <w:rFonts w:hint="eastAsia" w:ascii="仿宋_GB2312" w:eastAsia="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比上年执行数减少</w:t>
      </w:r>
      <w:r>
        <w:rPr>
          <w:rFonts w:hint="eastAsia" w:ascii="仿宋_GB2312" w:hAnsi="仿宋_GB2312" w:eastAsia="仿宋_GB2312" w:cs="仿宋_GB2312"/>
          <w:color w:val="000000"/>
          <w:sz w:val="32"/>
          <w:szCs w:val="32"/>
          <w:highlight w:val="none"/>
          <w:lang w:val="en-US" w:eastAsia="zh-CN"/>
        </w:rPr>
        <w:t>66.4万元，</w:t>
      </w:r>
      <w:r>
        <w:rPr>
          <w:rFonts w:hint="eastAsia" w:ascii="仿宋_GB2312" w:hAnsi="仿宋_GB2312" w:eastAsia="仿宋_GB2312" w:cs="仿宋_GB2312"/>
          <w:color w:val="000000"/>
          <w:sz w:val="32"/>
          <w:highlight w:val="none"/>
          <w:lang w:eastAsia="zh-CN"/>
        </w:rPr>
        <w:t>减少</w:t>
      </w:r>
      <w:r>
        <w:rPr>
          <w:rFonts w:hint="eastAsia" w:ascii="仿宋_GB2312" w:hAnsi="仿宋_GB2312" w:eastAsia="仿宋_GB2312" w:cs="仿宋_GB2312"/>
          <w:color w:val="000000"/>
          <w:sz w:val="32"/>
          <w:highlight w:val="none"/>
          <w:lang w:val="en-US" w:eastAsia="zh-CN"/>
        </w:rPr>
        <w:t>5.91</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主要原因为一是编外人员数量有所变化。</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其中：</w:t>
      </w:r>
      <w:r>
        <w:rPr>
          <w:rFonts w:hint="eastAsia" w:ascii="仿宋_GB2312" w:eastAsia="仿宋_GB2312"/>
          <w:color w:val="000000"/>
          <w:sz w:val="32"/>
          <w:szCs w:val="32"/>
          <w:highlight w:val="none"/>
          <w:lang w:eastAsia="zh-CN"/>
        </w:rPr>
        <w:t>一般公共预算拨款收入</w:t>
      </w:r>
      <w:r>
        <w:rPr>
          <w:rFonts w:hint="eastAsia" w:ascii="仿宋_GB2312" w:eastAsia="仿宋_GB2312"/>
          <w:color w:val="000000"/>
          <w:sz w:val="32"/>
          <w:szCs w:val="32"/>
          <w:highlight w:val="none"/>
          <w:lang w:val="en-US" w:eastAsia="zh-CN"/>
        </w:rPr>
        <w:t>1114.88</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93.71</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rPr>
        <w:br w:type="textWrapping"/>
      </w:r>
      <w:r>
        <w:rPr>
          <w:rFonts w:hint="eastAsia" w:ascii="仿宋_GB2312" w:eastAsia="仿宋_GB2312"/>
          <w:color w:val="000000"/>
          <w:sz w:val="32"/>
          <w:szCs w:val="32"/>
          <w:highlight w:val="none"/>
          <w:lang w:eastAsia="zh-CN"/>
        </w:rPr>
        <w:t>其他收入</w:t>
      </w:r>
      <w:r>
        <w:rPr>
          <w:rFonts w:hint="eastAsia" w:ascii="仿宋_GB2312" w:eastAsia="仿宋_GB2312"/>
          <w:color w:val="000000"/>
          <w:sz w:val="32"/>
          <w:szCs w:val="32"/>
          <w:highlight w:val="none"/>
          <w:lang w:val="en-US" w:eastAsia="zh-CN"/>
        </w:rPr>
        <w:t>74.94万元</w:t>
      </w:r>
      <w:r>
        <w:rPr>
          <w:rFonts w:hint="eastAsia" w:ascii="仿宋_GB2312" w:eastAsia="仿宋_GB2312"/>
          <w:color w:val="000000"/>
          <w:sz w:val="32"/>
          <w:szCs w:val="32"/>
          <w:highlight w:val="none"/>
        </w:rPr>
        <w:t>，占</w:t>
      </w:r>
      <w:r>
        <w:rPr>
          <w:rFonts w:hint="eastAsia" w:ascii="仿宋_GB2312" w:eastAsia="仿宋_GB2312"/>
          <w:color w:val="000000"/>
          <w:sz w:val="32"/>
          <w:szCs w:val="32"/>
          <w:highlight w:val="none"/>
          <w:lang w:val="en-US" w:eastAsia="zh-CN"/>
        </w:rPr>
        <w:t>6.29</w:t>
      </w:r>
      <w:r>
        <w:rPr>
          <w:rFonts w:hint="eastAsia" w:ascii="仿宋_GB2312" w:eastAsia="仿宋_GB2312"/>
          <w:color w:val="000000"/>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color w:val="000000"/>
          <w:sz w:val="32"/>
          <w:szCs w:val="32"/>
          <w:highlight w:val="none"/>
        </w:rPr>
      </w:pPr>
      <w:r>
        <w:rPr>
          <w:rFonts w:hint="eastAsia" w:ascii="楷体_GB2312" w:hAnsi="楷体_GB2312" w:eastAsia="楷体_GB2312" w:cs="楷体_GB2312"/>
          <w:b/>
          <w:bCs w:val="0"/>
          <w:color w:val="000000"/>
          <w:sz w:val="32"/>
          <w:szCs w:val="32"/>
          <w:highlight w:val="none"/>
        </w:rPr>
        <w:t>（</w:t>
      </w:r>
      <w:r>
        <w:rPr>
          <w:rFonts w:hint="eastAsia" w:ascii="楷体_GB2312" w:hAnsi="楷体_GB2312" w:eastAsia="楷体_GB2312" w:cs="楷体_GB2312"/>
          <w:b/>
          <w:bCs w:val="0"/>
          <w:color w:val="000000"/>
          <w:sz w:val="32"/>
          <w:szCs w:val="32"/>
          <w:highlight w:val="none"/>
          <w:lang w:eastAsia="zh-CN"/>
        </w:rPr>
        <w:t>三</w:t>
      </w:r>
      <w:r>
        <w:rPr>
          <w:rFonts w:hint="eastAsia" w:ascii="楷体_GB2312" w:hAnsi="楷体_GB2312" w:eastAsia="楷体_GB2312" w:cs="楷体_GB2312"/>
          <w:b/>
          <w:bCs w:val="0"/>
          <w:color w:val="000000"/>
          <w:sz w:val="32"/>
          <w:szCs w:val="32"/>
          <w:highlight w:val="none"/>
        </w:rPr>
        <w:t>）</w:t>
      </w:r>
      <w:r>
        <w:rPr>
          <w:rFonts w:hint="eastAsia" w:ascii="楷体_GB2312" w:hAnsi="楷体_GB2312" w:eastAsia="楷体_GB2312" w:cs="楷体_GB2312"/>
          <w:b/>
          <w:bCs w:val="0"/>
          <w:color w:val="000000"/>
          <w:sz w:val="32"/>
          <w:szCs w:val="32"/>
          <w:highlight w:val="none"/>
          <w:lang w:eastAsia="zh-CN"/>
        </w:rPr>
        <w:t>关于衢州市财政国库支付中心</w:t>
      </w:r>
      <w:r>
        <w:rPr>
          <w:rFonts w:hint="eastAsia" w:ascii="楷体_GB2312" w:hAnsi="楷体_GB2312" w:eastAsia="楷体_GB2312" w:cs="楷体_GB2312"/>
          <w:b/>
          <w:bCs w:val="0"/>
          <w:color w:val="000000"/>
          <w:sz w:val="32"/>
          <w:szCs w:val="32"/>
          <w:highlight w:val="none"/>
          <w:lang w:val="en-US" w:eastAsia="zh-CN"/>
        </w:rPr>
        <w:t>2022</w:t>
      </w:r>
      <w:r>
        <w:rPr>
          <w:rFonts w:hint="eastAsia" w:ascii="楷体_GB2312" w:hAnsi="楷体_GB2312" w:eastAsia="楷体_GB2312" w:cs="楷体_GB2312"/>
          <w:b/>
          <w:bCs w:val="0"/>
          <w:color w:val="000000"/>
          <w:sz w:val="32"/>
          <w:szCs w:val="32"/>
          <w:highlight w:val="none"/>
        </w:rPr>
        <w:t>年支出预算</w:t>
      </w:r>
      <w:r>
        <w:rPr>
          <w:rFonts w:hint="eastAsia" w:ascii="楷体_GB2312" w:hAnsi="楷体_GB2312" w:eastAsia="楷体_GB2312" w:cs="楷体_GB2312"/>
          <w:b/>
          <w:bCs w:val="0"/>
          <w:color w:val="000000"/>
          <w:sz w:val="32"/>
          <w:szCs w:val="32"/>
          <w:highlight w:val="none"/>
          <w:lang w:eastAsia="zh-CN"/>
        </w:rPr>
        <w:t>情况说明</w:t>
      </w:r>
      <w:r>
        <w:rPr>
          <w:rFonts w:hint="eastAsia" w:ascii="仿宋_GB2312" w:eastAsia="仿宋_GB2312"/>
          <w:b w:val="0"/>
          <w:bCs/>
          <w:color w:val="000000"/>
          <w:sz w:val="32"/>
          <w:szCs w:val="32"/>
          <w:highlight w:val="none"/>
        </w:rPr>
        <w:br w:type="textWrapping"/>
      </w:r>
      <w:r>
        <w:rPr>
          <w:rFonts w:hint="eastAsia" w:ascii="仿宋_GB2312" w:eastAsia="仿宋_GB2312"/>
          <w:color w:val="000000"/>
          <w:sz w:val="32"/>
          <w:szCs w:val="32"/>
          <w:highlight w:val="none"/>
        </w:rPr>
        <w:t>　　</w:t>
      </w:r>
      <w:r>
        <w:rPr>
          <w:rFonts w:hint="eastAsia" w:ascii="仿宋_GB2312" w:eastAsia="仿宋_GB2312"/>
          <w:color w:val="000000"/>
          <w:sz w:val="32"/>
          <w:szCs w:val="32"/>
          <w:highlight w:val="none"/>
          <w:lang w:eastAsia="zh-CN"/>
        </w:rPr>
        <w:t>衢州市财政国库支付中心</w:t>
      </w:r>
      <w:r>
        <w:rPr>
          <w:rFonts w:hint="eastAsia" w:ascii="仿宋_GB2312" w:eastAsia="仿宋_GB2312"/>
          <w:color w:val="000000"/>
          <w:sz w:val="32"/>
          <w:szCs w:val="32"/>
          <w:highlight w:val="none"/>
          <w:lang w:val="en-US" w:eastAsia="zh-CN"/>
        </w:rPr>
        <w:t>2022</w:t>
      </w:r>
      <w:r>
        <w:rPr>
          <w:rFonts w:hint="eastAsia" w:ascii="仿宋_GB2312" w:eastAsia="仿宋_GB2312"/>
          <w:color w:val="000000"/>
          <w:sz w:val="32"/>
          <w:szCs w:val="32"/>
          <w:highlight w:val="none"/>
        </w:rPr>
        <w:t>年支出预算</w:t>
      </w:r>
      <w:r>
        <w:rPr>
          <w:rFonts w:hint="eastAsia" w:ascii="仿宋_GB2312" w:eastAsia="仿宋_GB2312"/>
          <w:color w:val="000000"/>
          <w:sz w:val="32"/>
          <w:szCs w:val="32"/>
          <w:highlight w:val="none"/>
          <w:lang w:val="en-US" w:eastAsia="zh-CN"/>
        </w:rPr>
        <w:t>1189.82</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比上年执行数减少</w:t>
      </w:r>
      <w:r>
        <w:rPr>
          <w:rFonts w:hint="eastAsia" w:ascii="仿宋_GB2312" w:hAnsi="仿宋_GB2312" w:eastAsia="仿宋_GB2312" w:cs="仿宋_GB2312"/>
          <w:color w:val="000000"/>
          <w:sz w:val="32"/>
          <w:szCs w:val="32"/>
          <w:highlight w:val="none"/>
          <w:lang w:val="en-US" w:eastAsia="zh-CN"/>
        </w:rPr>
        <w:t>66.4万元，</w:t>
      </w:r>
      <w:r>
        <w:rPr>
          <w:rFonts w:hint="eastAsia" w:ascii="仿宋_GB2312" w:hAnsi="仿宋_GB2312" w:eastAsia="仿宋_GB2312" w:cs="仿宋_GB2312"/>
          <w:color w:val="000000"/>
          <w:sz w:val="32"/>
          <w:highlight w:val="none"/>
          <w:lang w:eastAsia="zh-CN"/>
        </w:rPr>
        <w:t>减少</w:t>
      </w:r>
      <w:r>
        <w:rPr>
          <w:rFonts w:hint="eastAsia" w:ascii="仿宋_GB2312" w:hAnsi="仿宋_GB2312" w:eastAsia="仿宋_GB2312" w:cs="仿宋_GB2312"/>
          <w:color w:val="000000"/>
          <w:sz w:val="32"/>
          <w:highlight w:val="none"/>
          <w:lang w:val="en-US" w:eastAsia="zh-CN"/>
        </w:rPr>
        <w:t>5.91</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主要原因为一是编外人员数量有所变化。</w:t>
      </w:r>
    </w:p>
    <w:p>
      <w:pPr>
        <w:keepNext w:val="0"/>
        <w:keepLines w:val="0"/>
        <w:pageBreakBefore w:val="0"/>
        <w:kinsoku/>
        <w:wordWrap/>
        <w:overflowPunct/>
        <w:topLinePunct w:val="0"/>
        <w:autoSpaceDE/>
        <w:autoSpaceDN/>
        <w:bidi w:val="0"/>
        <w:adjustRightInd/>
        <w:snapToGrid w:val="0"/>
        <w:spacing w:line="540" w:lineRule="exact"/>
        <w:ind w:right="0" w:rightChars="0" w:firstLine="63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1.按支出功能分类，包括</w:t>
      </w:r>
      <w:r>
        <w:rPr>
          <w:rFonts w:hint="eastAsia" w:ascii="仿宋_GB2312" w:eastAsia="仿宋_GB2312"/>
          <w:color w:val="000000"/>
          <w:sz w:val="32"/>
          <w:szCs w:val="32"/>
          <w:highlight w:val="none"/>
          <w:lang w:eastAsia="zh-CN"/>
        </w:rPr>
        <w:t>一般公共服务支出</w:t>
      </w:r>
      <w:r>
        <w:rPr>
          <w:rFonts w:hint="eastAsia" w:ascii="仿宋_GB2312" w:eastAsia="仿宋_GB2312"/>
          <w:color w:val="000000"/>
          <w:sz w:val="32"/>
          <w:szCs w:val="32"/>
          <w:highlight w:val="none"/>
          <w:lang w:val="en-US" w:eastAsia="zh-CN"/>
        </w:rPr>
        <w:t>990.41</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、社会保障和就业支出</w:t>
      </w:r>
      <w:r>
        <w:rPr>
          <w:rFonts w:hint="eastAsia" w:ascii="仿宋_GB2312" w:eastAsia="仿宋_GB2312"/>
          <w:color w:val="000000"/>
          <w:sz w:val="32"/>
          <w:szCs w:val="32"/>
          <w:highlight w:val="none"/>
          <w:lang w:val="en-US" w:eastAsia="zh-CN"/>
        </w:rPr>
        <w:t>102.28</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、住房保障支出</w:t>
      </w:r>
      <w:r>
        <w:rPr>
          <w:rFonts w:hint="eastAsia" w:ascii="仿宋_GB2312" w:eastAsia="仿宋_GB2312"/>
          <w:color w:val="000000"/>
          <w:sz w:val="32"/>
          <w:szCs w:val="32"/>
          <w:highlight w:val="none"/>
          <w:lang w:val="en-US" w:eastAsia="zh-CN"/>
        </w:rPr>
        <w:t>97.13</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2"/>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2.按支出用途分类，</w:t>
      </w:r>
      <w:r>
        <w:rPr>
          <w:rFonts w:hint="eastAsia" w:ascii="仿宋_GB2312" w:eastAsia="仿宋_GB2312"/>
          <w:color w:val="000000"/>
          <w:sz w:val="32"/>
          <w:szCs w:val="32"/>
          <w:highlight w:val="none"/>
          <w:lang w:eastAsia="zh-CN"/>
        </w:rPr>
        <w:t>包括人员</w:t>
      </w:r>
      <w:r>
        <w:rPr>
          <w:rFonts w:hint="eastAsia" w:ascii="仿宋_GB2312" w:eastAsia="仿宋_GB2312"/>
          <w:color w:val="000000"/>
          <w:sz w:val="32"/>
          <w:szCs w:val="32"/>
          <w:highlight w:val="none"/>
        </w:rPr>
        <w:t>支出</w:t>
      </w:r>
      <w:r>
        <w:rPr>
          <w:rFonts w:hint="eastAsia" w:ascii="仿宋_GB2312" w:eastAsia="仿宋_GB2312"/>
          <w:color w:val="000000"/>
          <w:sz w:val="32"/>
          <w:szCs w:val="32"/>
          <w:highlight w:val="none"/>
          <w:lang w:val="en-US" w:eastAsia="zh-CN"/>
        </w:rPr>
        <w:t>1066.33</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89.62</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auto"/>
          <w:sz w:val="32"/>
          <w:szCs w:val="32"/>
          <w:highlight w:val="none"/>
          <w:lang w:eastAsia="zh-CN"/>
        </w:rPr>
        <w:t>日常公用支出</w:t>
      </w:r>
      <w:r>
        <w:rPr>
          <w:rFonts w:hint="eastAsia" w:ascii="仿宋_GB2312" w:eastAsia="仿宋_GB2312"/>
          <w:color w:val="auto"/>
          <w:sz w:val="32"/>
          <w:szCs w:val="32"/>
          <w:highlight w:val="none"/>
          <w:lang w:val="en-US" w:eastAsia="zh-CN"/>
        </w:rPr>
        <w:t>85.49</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占</w:t>
      </w:r>
      <w:r>
        <w:rPr>
          <w:rFonts w:hint="eastAsia" w:ascii="仿宋_GB2312" w:eastAsia="仿宋_GB2312"/>
          <w:color w:val="auto"/>
          <w:sz w:val="32"/>
          <w:szCs w:val="32"/>
          <w:highlight w:val="none"/>
          <w:lang w:val="en-US" w:eastAsia="zh-CN"/>
        </w:rPr>
        <w:t>7.19</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项目支</w:t>
      </w:r>
      <w:r>
        <w:rPr>
          <w:rFonts w:hint="eastAsia" w:ascii="仿宋_GB2312" w:eastAsia="仿宋_GB2312"/>
          <w:color w:val="000000"/>
          <w:sz w:val="32"/>
          <w:szCs w:val="32"/>
          <w:highlight w:val="none"/>
        </w:rPr>
        <w:t>出</w:t>
      </w:r>
      <w:r>
        <w:rPr>
          <w:rFonts w:hint="eastAsia" w:ascii="仿宋_GB2312" w:eastAsia="仿宋_GB2312"/>
          <w:color w:val="000000"/>
          <w:sz w:val="32"/>
          <w:szCs w:val="32"/>
          <w:highlight w:val="none"/>
          <w:lang w:val="en-US" w:eastAsia="zh-CN"/>
        </w:rPr>
        <w:t>38</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3.19</w:t>
      </w:r>
      <w:r>
        <w:rPr>
          <w:rFonts w:hint="eastAsia" w:ascii="仿宋_GB2312" w:eastAsia="仿宋_GB2312"/>
          <w:color w:val="000000"/>
          <w:sz w:val="32"/>
          <w:szCs w:val="32"/>
          <w:highlight w:val="none"/>
        </w:rPr>
        <w:t>%。</w:t>
      </w:r>
    </w:p>
    <w:p>
      <w:pPr>
        <w:pStyle w:val="2"/>
        <w:ind w:firstLine="640" w:firstLineChars="200"/>
        <w:rPr>
          <w:rFonts w:hint="eastAsia"/>
          <w:highlight w:val="none"/>
        </w:rPr>
      </w:pPr>
      <w:r>
        <w:rPr>
          <w:rFonts w:hint="eastAsia" w:ascii="仿宋_GB2312" w:eastAsia="仿宋_GB2312"/>
          <w:color w:val="000000"/>
          <w:sz w:val="32"/>
          <w:szCs w:val="32"/>
          <w:highlight w:val="none"/>
          <w:lang w:eastAsia="zh-CN"/>
        </w:rPr>
        <w:t>结转下年</w:t>
      </w:r>
      <w:r>
        <w:rPr>
          <w:rFonts w:hint="eastAsia"/>
          <w:color w:val="000000"/>
          <w:sz w:val="32"/>
          <w:szCs w:val="32"/>
          <w:highlight w:val="none"/>
          <w:lang w:val="en-US" w:eastAsia="zh-CN"/>
        </w:rPr>
        <w:t>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line="540" w:lineRule="exact"/>
        <w:ind w:right="0" w:rightChars="0" w:firstLine="630" w:firstLineChars="196"/>
        <w:textAlignment w:val="auto"/>
        <w:outlineLvl w:val="9"/>
        <w:rPr>
          <w:rFonts w:hint="eastAsia" w:ascii="楷体_GB2312" w:hAnsi="楷体_GB2312" w:eastAsia="楷体_GB2312" w:cs="楷体_GB2312"/>
          <w:b/>
          <w:bCs w:val="0"/>
          <w:color w:val="000000"/>
          <w:sz w:val="32"/>
          <w:szCs w:val="32"/>
          <w:highlight w:val="none"/>
        </w:rPr>
      </w:pPr>
      <w:r>
        <w:rPr>
          <w:rFonts w:hint="eastAsia" w:ascii="楷体_GB2312" w:hAnsi="楷体_GB2312" w:eastAsia="楷体_GB2312" w:cs="楷体_GB2312"/>
          <w:b/>
          <w:bCs w:val="0"/>
          <w:color w:val="000000"/>
          <w:sz w:val="32"/>
          <w:szCs w:val="32"/>
          <w:highlight w:val="none"/>
        </w:rPr>
        <w:t>（</w:t>
      </w:r>
      <w:r>
        <w:rPr>
          <w:rFonts w:hint="eastAsia" w:ascii="楷体_GB2312" w:hAnsi="楷体_GB2312" w:eastAsia="楷体_GB2312" w:cs="楷体_GB2312"/>
          <w:b/>
          <w:bCs w:val="0"/>
          <w:color w:val="000000"/>
          <w:sz w:val="32"/>
          <w:szCs w:val="32"/>
          <w:highlight w:val="none"/>
          <w:lang w:eastAsia="zh-CN"/>
        </w:rPr>
        <w:t>四</w:t>
      </w:r>
      <w:r>
        <w:rPr>
          <w:rFonts w:hint="eastAsia" w:ascii="楷体_GB2312" w:hAnsi="楷体_GB2312" w:eastAsia="楷体_GB2312" w:cs="楷体_GB2312"/>
          <w:b/>
          <w:bCs w:val="0"/>
          <w:color w:val="000000"/>
          <w:sz w:val="32"/>
          <w:szCs w:val="32"/>
          <w:highlight w:val="none"/>
        </w:rPr>
        <w:t>）</w:t>
      </w:r>
      <w:r>
        <w:rPr>
          <w:rFonts w:hint="eastAsia" w:ascii="楷体_GB2312" w:hAnsi="楷体_GB2312" w:eastAsia="楷体_GB2312" w:cs="楷体_GB2312"/>
          <w:b/>
          <w:bCs w:val="0"/>
          <w:color w:val="000000"/>
          <w:sz w:val="32"/>
          <w:szCs w:val="32"/>
          <w:highlight w:val="none"/>
          <w:lang w:eastAsia="zh-CN"/>
        </w:rPr>
        <w:t>关于衢州市财政国库支付中心</w:t>
      </w:r>
      <w:r>
        <w:rPr>
          <w:rFonts w:hint="eastAsia" w:ascii="楷体_GB2312" w:hAnsi="楷体_GB2312" w:eastAsia="楷体_GB2312" w:cs="楷体_GB2312"/>
          <w:b/>
          <w:bCs w:val="0"/>
          <w:color w:val="000000"/>
          <w:sz w:val="32"/>
          <w:szCs w:val="32"/>
          <w:highlight w:val="none"/>
          <w:lang w:val="en-US" w:eastAsia="zh-CN"/>
        </w:rPr>
        <w:t>2022</w:t>
      </w:r>
      <w:r>
        <w:rPr>
          <w:rFonts w:hint="eastAsia" w:ascii="楷体_GB2312" w:hAnsi="楷体_GB2312" w:eastAsia="楷体_GB2312" w:cs="楷体_GB2312"/>
          <w:b/>
          <w:bCs w:val="0"/>
          <w:color w:val="000000"/>
          <w:sz w:val="32"/>
          <w:szCs w:val="32"/>
          <w:highlight w:val="none"/>
        </w:rPr>
        <w:t>年财政拨款</w:t>
      </w:r>
      <w:r>
        <w:rPr>
          <w:rFonts w:hint="eastAsia" w:ascii="楷体_GB2312" w:hAnsi="楷体_GB2312" w:eastAsia="楷体_GB2312" w:cs="楷体_GB2312"/>
          <w:b/>
          <w:bCs w:val="0"/>
          <w:color w:val="000000"/>
          <w:sz w:val="32"/>
          <w:szCs w:val="32"/>
          <w:highlight w:val="none"/>
          <w:lang w:eastAsia="zh-CN"/>
        </w:rPr>
        <w:t>收支预算情况的总体说明</w:t>
      </w:r>
    </w:p>
    <w:p>
      <w:pPr>
        <w:keepNext w:val="0"/>
        <w:keepLines w:val="0"/>
        <w:pageBreakBefore w:val="0"/>
        <w:kinsoku/>
        <w:wordWrap/>
        <w:overflowPunct/>
        <w:topLinePunct w:val="0"/>
        <w:autoSpaceDE/>
        <w:autoSpaceDN/>
        <w:bidi w:val="0"/>
        <w:adjustRightInd/>
        <w:snapToGrid w:val="0"/>
        <w:spacing w:line="540" w:lineRule="exact"/>
        <w:ind w:right="0" w:rightChars="0" w:firstLine="64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衢州市财政国库支付中心</w:t>
      </w:r>
      <w:r>
        <w:rPr>
          <w:rFonts w:hint="eastAsia" w:ascii="仿宋_GB2312" w:eastAsia="仿宋_GB2312"/>
          <w:color w:val="000000"/>
          <w:sz w:val="32"/>
          <w:szCs w:val="32"/>
          <w:highlight w:val="none"/>
          <w:lang w:val="en-US" w:eastAsia="zh-CN"/>
        </w:rPr>
        <w:t>2022年财政拨款收支总预算1114.88万元。收入包括：一般公共预算1114.88万元；支出包括：</w:t>
      </w:r>
      <w:r>
        <w:rPr>
          <w:rFonts w:hint="eastAsia" w:ascii="仿宋_GB2312" w:eastAsia="仿宋_GB2312"/>
          <w:color w:val="000000"/>
          <w:sz w:val="32"/>
          <w:szCs w:val="32"/>
          <w:highlight w:val="none"/>
          <w:lang w:eastAsia="zh-CN"/>
        </w:rPr>
        <w:t>一般公共服务支出</w:t>
      </w:r>
      <w:r>
        <w:rPr>
          <w:rFonts w:hint="eastAsia" w:ascii="仿宋_GB2312" w:eastAsia="仿宋_GB2312"/>
          <w:color w:val="000000"/>
          <w:sz w:val="32"/>
          <w:szCs w:val="32"/>
          <w:highlight w:val="none"/>
          <w:lang w:val="en-US" w:eastAsia="zh-CN"/>
        </w:rPr>
        <w:t>915.47</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、社会保障和就业支出</w:t>
      </w:r>
      <w:r>
        <w:rPr>
          <w:rFonts w:hint="eastAsia" w:ascii="仿宋_GB2312" w:eastAsia="仿宋_GB2312"/>
          <w:color w:val="000000"/>
          <w:sz w:val="32"/>
          <w:szCs w:val="32"/>
          <w:highlight w:val="none"/>
          <w:lang w:val="en-US" w:eastAsia="zh-CN"/>
        </w:rPr>
        <w:t>102.28</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、住房保障支出</w:t>
      </w:r>
      <w:r>
        <w:rPr>
          <w:rFonts w:hint="eastAsia" w:ascii="仿宋_GB2312" w:eastAsia="仿宋_GB2312"/>
          <w:color w:val="000000"/>
          <w:sz w:val="32"/>
          <w:szCs w:val="32"/>
          <w:highlight w:val="none"/>
          <w:lang w:val="en-US" w:eastAsia="zh-CN"/>
        </w:rPr>
        <w:t>97.13</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val="en-US" w:eastAsia="zh-CN"/>
        </w:rPr>
        <w:t>。</w:t>
      </w:r>
    </w:p>
    <w:p>
      <w:pPr>
        <w:keepNext w:val="0"/>
        <w:keepLines w:val="0"/>
        <w:pageBreakBefore w:val="0"/>
        <w:numPr>
          <w:ilvl w:val="0"/>
          <w:numId w:val="1"/>
        </w:numPr>
        <w:kinsoku/>
        <w:wordWrap/>
        <w:overflowPunct/>
        <w:topLinePunct w:val="0"/>
        <w:autoSpaceDE/>
        <w:autoSpaceDN/>
        <w:bidi w:val="0"/>
        <w:adjustRightInd/>
        <w:snapToGrid w:val="0"/>
        <w:spacing w:line="540" w:lineRule="exact"/>
        <w:ind w:right="0" w:rightChars="0" w:firstLine="640"/>
        <w:textAlignment w:val="auto"/>
        <w:outlineLvl w:val="9"/>
        <w:rPr>
          <w:rFonts w:hint="eastAsia" w:ascii="楷体_GB2312" w:hAnsi="楷体_GB2312" w:eastAsia="楷体_GB2312" w:cs="楷体_GB2312"/>
          <w:b/>
          <w:bCs w:val="0"/>
          <w:color w:val="000000"/>
          <w:sz w:val="32"/>
          <w:szCs w:val="32"/>
          <w:highlight w:val="none"/>
          <w:lang w:eastAsia="zh-CN"/>
        </w:rPr>
      </w:pPr>
      <w:r>
        <w:rPr>
          <w:rFonts w:hint="eastAsia" w:ascii="楷体_GB2312" w:hAnsi="楷体_GB2312" w:eastAsia="楷体_GB2312" w:cs="楷体_GB2312"/>
          <w:b/>
          <w:bCs w:val="0"/>
          <w:color w:val="000000"/>
          <w:sz w:val="32"/>
          <w:szCs w:val="32"/>
          <w:highlight w:val="none"/>
          <w:lang w:eastAsia="zh-CN"/>
        </w:rPr>
        <w:t>关于衢州市财政国库支付中心</w:t>
      </w:r>
      <w:r>
        <w:rPr>
          <w:rFonts w:hint="eastAsia" w:ascii="楷体_GB2312" w:hAnsi="楷体_GB2312" w:eastAsia="楷体_GB2312" w:cs="楷体_GB2312"/>
          <w:b/>
          <w:bCs w:val="0"/>
          <w:color w:val="000000"/>
          <w:sz w:val="32"/>
          <w:szCs w:val="32"/>
          <w:highlight w:val="none"/>
          <w:lang w:val="en-US" w:eastAsia="zh-CN"/>
        </w:rPr>
        <w:t>2022</w:t>
      </w:r>
      <w:r>
        <w:rPr>
          <w:rFonts w:hint="eastAsia" w:ascii="楷体_GB2312" w:hAnsi="楷体_GB2312" w:eastAsia="楷体_GB2312" w:cs="楷体_GB2312"/>
          <w:b/>
          <w:bCs w:val="0"/>
          <w:color w:val="000000"/>
          <w:sz w:val="32"/>
          <w:szCs w:val="32"/>
          <w:highlight w:val="none"/>
        </w:rPr>
        <w:t>年</w:t>
      </w:r>
      <w:r>
        <w:rPr>
          <w:rFonts w:hint="eastAsia" w:ascii="楷体_GB2312" w:hAnsi="楷体_GB2312" w:eastAsia="楷体_GB2312" w:cs="楷体_GB2312"/>
          <w:b/>
          <w:bCs w:val="0"/>
          <w:color w:val="000000"/>
          <w:sz w:val="32"/>
          <w:szCs w:val="32"/>
          <w:highlight w:val="none"/>
          <w:lang w:eastAsia="zh-CN"/>
        </w:rPr>
        <w:t>一般公共预算当年拨款情况说明</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1.一般公共预算当年拨款规模变化情况</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2"/>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衢州市财政国库支付中心</w:t>
      </w:r>
      <w:r>
        <w:rPr>
          <w:rFonts w:hint="eastAsia" w:ascii="仿宋_GB2312" w:eastAsia="仿宋_GB2312"/>
          <w:color w:val="000000"/>
          <w:sz w:val="32"/>
          <w:szCs w:val="32"/>
          <w:highlight w:val="none"/>
          <w:lang w:val="en-US" w:eastAsia="zh-CN"/>
        </w:rPr>
        <w:t>2022年一般公共预算当年拨款1114.88万元，比上年执行数减少8.54万元，主要是2022年编外人员减少。</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2.一般公共预算当年拨款结构情况</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一般公共服务（类）支出</w:t>
      </w:r>
      <w:r>
        <w:rPr>
          <w:rFonts w:hint="eastAsia" w:ascii="仿宋_GB2312" w:eastAsia="仿宋_GB2312"/>
          <w:color w:val="000000"/>
          <w:sz w:val="32"/>
          <w:szCs w:val="32"/>
          <w:highlight w:val="none"/>
          <w:lang w:val="en-US" w:eastAsia="zh-CN"/>
        </w:rPr>
        <w:t>915.47</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82.11</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；社会保障和就业（类）支出</w:t>
      </w:r>
      <w:r>
        <w:rPr>
          <w:rFonts w:hint="eastAsia" w:ascii="仿宋_GB2312" w:eastAsia="仿宋_GB2312"/>
          <w:color w:val="000000"/>
          <w:sz w:val="32"/>
          <w:szCs w:val="32"/>
          <w:highlight w:val="none"/>
          <w:lang w:val="en-US" w:eastAsia="zh-CN"/>
        </w:rPr>
        <w:t>102.28</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9.17</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；住房保障（类）支出</w:t>
      </w:r>
      <w:r>
        <w:rPr>
          <w:rFonts w:hint="eastAsia" w:ascii="仿宋_GB2312" w:eastAsia="仿宋_GB2312"/>
          <w:color w:val="000000"/>
          <w:sz w:val="32"/>
          <w:szCs w:val="32"/>
          <w:highlight w:val="none"/>
          <w:lang w:val="en-US" w:eastAsia="zh-CN"/>
        </w:rPr>
        <w:t>97.13</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8.72</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w:t>
      </w:r>
    </w:p>
    <w:p>
      <w:pPr>
        <w:keepNext w:val="0"/>
        <w:keepLines w:val="0"/>
        <w:pageBreakBefore w:val="0"/>
        <w:kinsoku/>
        <w:wordWrap/>
        <w:overflowPunct/>
        <w:topLinePunct w:val="0"/>
        <w:autoSpaceDE/>
        <w:autoSpaceDN/>
        <w:bidi w:val="0"/>
        <w:adjustRightInd/>
        <w:snapToGrid w:val="0"/>
        <w:spacing w:line="540" w:lineRule="exact"/>
        <w:ind w:right="0" w:rightChars="0" w:firstLine="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b/>
          <w:color w:val="000000"/>
          <w:sz w:val="32"/>
          <w:szCs w:val="32"/>
          <w:highlight w:val="none"/>
          <w:lang w:val="en-US" w:eastAsia="zh-CN"/>
        </w:rPr>
        <w:t xml:space="preserve">  3.一般公共预算当年拨款具体使用情况</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jc w:val="left"/>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一般公共服务支出（类）财政事务（款）行政运行（项）915.47</w:t>
      </w:r>
      <w:r>
        <w:rPr>
          <w:rFonts w:hint="eastAsia" w:ascii="仿宋_GB2312" w:eastAsia="仿宋_GB2312"/>
          <w:color w:val="000000"/>
          <w:sz w:val="32"/>
          <w:szCs w:val="32"/>
          <w:highlight w:val="none"/>
        </w:rPr>
        <w:t>万元，主要用于</w:t>
      </w:r>
      <w:r>
        <w:rPr>
          <w:rFonts w:hint="eastAsia" w:ascii="仿宋_GB2312" w:eastAsia="仿宋_GB2312"/>
          <w:color w:val="000000"/>
          <w:sz w:val="32"/>
          <w:szCs w:val="32"/>
          <w:highlight w:val="none"/>
          <w:lang w:eastAsia="zh-CN"/>
        </w:rPr>
        <w:t>在职人员支出、包干经费</w:t>
      </w:r>
      <w:r>
        <w:rPr>
          <w:rFonts w:hint="eastAsia" w:ascii="仿宋_GB2312"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jc w:val="left"/>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2</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社会保障和就业支出</w:t>
      </w:r>
      <w:r>
        <w:rPr>
          <w:rFonts w:hint="eastAsia" w:ascii="仿宋_GB2312" w:eastAsia="仿宋_GB2312"/>
          <w:color w:val="000000"/>
          <w:sz w:val="32"/>
          <w:szCs w:val="32"/>
          <w:highlight w:val="none"/>
        </w:rPr>
        <w:t>（类）</w:t>
      </w:r>
      <w:r>
        <w:rPr>
          <w:rFonts w:hint="eastAsia" w:ascii="仿宋_GB2312" w:eastAsia="仿宋_GB2312"/>
          <w:color w:val="000000"/>
          <w:sz w:val="32"/>
          <w:szCs w:val="32"/>
          <w:highlight w:val="none"/>
          <w:lang w:val="en-US" w:eastAsia="zh-CN"/>
        </w:rPr>
        <w:t>）行政事业单位养老支出</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val="en-US" w:eastAsia="zh-CN"/>
        </w:rPr>
        <w:t>机关事业单位基本养老保险缴费支出</w:t>
      </w:r>
      <w:r>
        <w:rPr>
          <w:rFonts w:hint="eastAsia" w:ascii="仿宋_GB2312" w:eastAsia="仿宋_GB2312"/>
          <w:color w:val="000000"/>
          <w:sz w:val="32"/>
          <w:szCs w:val="32"/>
          <w:highlight w:val="none"/>
        </w:rPr>
        <w:t>（项）</w:t>
      </w:r>
      <w:r>
        <w:rPr>
          <w:rFonts w:hint="eastAsia" w:ascii="仿宋_GB2312" w:eastAsia="仿宋_GB2312"/>
          <w:color w:val="000000"/>
          <w:sz w:val="32"/>
          <w:szCs w:val="32"/>
          <w:highlight w:val="none"/>
          <w:lang w:val="en-US" w:eastAsia="zh-CN"/>
        </w:rPr>
        <w:t>46.03</w:t>
      </w:r>
      <w:r>
        <w:rPr>
          <w:rFonts w:hint="eastAsia" w:ascii="仿宋_GB2312" w:eastAsia="仿宋_GB2312"/>
          <w:color w:val="000000"/>
          <w:sz w:val="32"/>
          <w:szCs w:val="32"/>
          <w:highlight w:val="none"/>
        </w:rPr>
        <w:t>万元，主要用于</w:t>
      </w:r>
      <w:r>
        <w:rPr>
          <w:rFonts w:hint="eastAsia" w:ascii="仿宋_GB2312" w:eastAsia="仿宋_GB2312"/>
          <w:color w:val="000000"/>
          <w:sz w:val="32"/>
          <w:szCs w:val="32"/>
          <w:highlight w:val="none"/>
          <w:lang w:eastAsia="zh-CN"/>
        </w:rPr>
        <w:t>机关事业单位基本养老保险缴费</w:t>
      </w:r>
      <w:r>
        <w:rPr>
          <w:rFonts w:hint="eastAsia" w:ascii="仿宋_GB2312"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jc w:val="left"/>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3</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社会保障和就业支出</w:t>
      </w:r>
      <w:r>
        <w:rPr>
          <w:rFonts w:hint="eastAsia" w:ascii="仿宋_GB2312" w:eastAsia="仿宋_GB2312"/>
          <w:color w:val="000000"/>
          <w:sz w:val="32"/>
          <w:szCs w:val="32"/>
          <w:highlight w:val="none"/>
        </w:rPr>
        <w:t>（类）</w:t>
      </w:r>
      <w:r>
        <w:rPr>
          <w:rFonts w:hint="eastAsia" w:ascii="仿宋_GB2312" w:eastAsia="仿宋_GB2312"/>
          <w:color w:val="000000"/>
          <w:sz w:val="32"/>
          <w:szCs w:val="32"/>
          <w:highlight w:val="none"/>
          <w:lang w:val="en-US" w:eastAsia="zh-CN"/>
        </w:rPr>
        <w:t>）行政事业单位养老支出</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val="en-US" w:eastAsia="zh-CN"/>
        </w:rPr>
        <w:t>）机关事业单位职业年金缴费支出</w:t>
      </w:r>
      <w:r>
        <w:rPr>
          <w:rFonts w:hint="eastAsia" w:ascii="仿宋_GB2312" w:eastAsia="仿宋_GB2312"/>
          <w:color w:val="000000"/>
          <w:sz w:val="32"/>
          <w:szCs w:val="32"/>
          <w:highlight w:val="none"/>
        </w:rPr>
        <w:t>（项）</w:t>
      </w:r>
      <w:r>
        <w:rPr>
          <w:rFonts w:hint="eastAsia" w:ascii="仿宋_GB2312" w:eastAsia="仿宋_GB2312"/>
          <w:color w:val="000000"/>
          <w:sz w:val="32"/>
          <w:szCs w:val="32"/>
          <w:highlight w:val="none"/>
          <w:lang w:val="en-US" w:eastAsia="zh-CN"/>
        </w:rPr>
        <w:t>23.01</w:t>
      </w:r>
      <w:r>
        <w:rPr>
          <w:rFonts w:hint="eastAsia" w:ascii="仿宋_GB2312" w:eastAsia="仿宋_GB2312"/>
          <w:color w:val="000000"/>
          <w:sz w:val="32"/>
          <w:szCs w:val="32"/>
          <w:highlight w:val="none"/>
        </w:rPr>
        <w:t>万元，主要用于</w:t>
      </w:r>
      <w:r>
        <w:rPr>
          <w:rFonts w:hint="eastAsia" w:ascii="仿宋_GB2312" w:eastAsia="仿宋_GB2312"/>
          <w:color w:val="000000"/>
          <w:sz w:val="32"/>
          <w:szCs w:val="32"/>
          <w:highlight w:val="none"/>
          <w:lang w:eastAsia="zh-CN"/>
        </w:rPr>
        <w:t>机关事业单位职业年金缴费</w:t>
      </w:r>
      <w:r>
        <w:rPr>
          <w:rFonts w:hint="eastAsia" w:ascii="仿宋_GB2312"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jc w:val="left"/>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社会保障和就业支出</w:t>
      </w:r>
      <w:r>
        <w:rPr>
          <w:rFonts w:hint="eastAsia" w:ascii="仿宋_GB2312" w:eastAsia="仿宋_GB2312"/>
          <w:color w:val="000000"/>
          <w:sz w:val="32"/>
          <w:szCs w:val="32"/>
          <w:highlight w:val="none"/>
        </w:rPr>
        <w:t>（类）</w:t>
      </w:r>
      <w:r>
        <w:rPr>
          <w:rFonts w:hint="eastAsia" w:ascii="仿宋_GB2312" w:eastAsia="仿宋_GB2312"/>
          <w:color w:val="000000"/>
          <w:sz w:val="32"/>
          <w:szCs w:val="32"/>
          <w:highlight w:val="none"/>
          <w:lang w:val="en-US" w:eastAsia="zh-CN"/>
        </w:rPr>
        <w:t>）行政事业单位养老支出</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val="en-US" w:eastAsia="zh-CN"/>
        </w:rPr>
        <w:t>其他行政事业单位养老支出</w:t>
      </w:r>
      <w:r>
        <w:rPr>
          <w:rFonts w:hint="eastAsia" w:ascii="仿宋_GB2312" w:eastAsia="仿宋_GB2312"/>
          <w:color w:val="000000"/>
          <w:sz w:val="32"/>
          <w:szCs w:val="32"/>
          <w:highlight w:val="none"/>
        </w:rPr>
        <w:t>（项）</w:t>
      </w:r>
      <w:r>
        <w:rPr>
          <w:rFonts w:hint="eastAsia" w:ascii="仿宋_GB2312" w:eastAsia="仿宋_GB2312"/>
          <w:color w:val="000000"/>
          <w:sz w:val="32"/>
          <w:szCs w:val="32"/>
          <w:highlight w:val="none"/>
          <w:lang w:val="en-US" w:eastAsia="zh-CN"/>
        </w:rPr>
        <w:t>15.38</w:t>
      </w:r>
      <w:r>
        <w:rPr>
          <w:rFonts w:hint="eastAsia" w:ascii="仿宋_GB2312" w:eastAsia="仿宋_GB2312"/>
          <w:color w:val="000000"/>
          <w:sz w:val="32"/>
          <w:szCs w:val="32"/>
          <w:highlight w:val="none"/>
        </w:rPr>
        <w:t>万元，主要用于</w:t>
      </w:r>
      <w:r>
        <w:rPr>
          <w:rFonts w:hint="eastAsia" w:ascii="仿宋_GB2312" w:eastAsia="仿宋_GB2312"/>
          <w:color w:val="000000"/>
          <w:sz w:val="32"/>
          <w:szCs w:val="32"/>
          <w:highlight w:val="none"/>
          <w:lang w:eastAsia="zh-CN"/>
        </w:rPr>
        <w:t>提前退休人员补贴</w:t>
      </w:r>
      <w:r>
        <w:rPr>
          <w:rFonts w:hint="eastAsia" w:ascii="仿宋_GB2312"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jc w:val="left"/>
        <w:textAlignment w:val="auto"/>
        <w:outlineLvl w:val="9"/>
        <w:rPr>
          <w:rFonts w:hint="eastAsia"/>
          <w:highlight w:val="none"/>
          <w:lang w:eastAsia="zh-CN"/>
        </w:rPr>
      </w:pP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社会保障和就业支出</w:t>
      </w:r>
      <w:r>
        <w:rPr>
          <w:rFonts w:hint="eastAsia" w:ascii="仿宋_GB2312" w:eastAsia="仿宋_GB2312"/>
          <w:color w:val="000000"/>
          <w:sz w:val="32"/>
          <w:szCs w:val="32"/>
          <w:highlight w:val="none"/>
        </w:rPr>
        <w:t>（类）</w:t>
      </w:r>
      <w:r>
        <w:rPr>
          <w:rFonts w:hint="eastAsia" w:ascii="仿宋_GB2312" w:eastAsia="仿宋_GB2312"/>
          <w:color w:val="000000"/>
          <w:sz w:val="32"/>
          <w:szCs w:val="32"/>
          <w:highlight w:val="none"/>
          <w:lang w:val="en-US" w:eastAsia="zh-CN"/>
        </w:rPr>
        <w:t>财政对其他社会保险基金的补助</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val="en-US" w:eastAsia="zh-CN"/>
        </w:rPr>
        <w:t>）其他财政对社会保险基金的补</w:t>
      </w:r>
      <w:r>
        <w:rPr>
          <w:rFonts w:hint="eastAsia" w:ascii="仿宋_GB2312" w:eastAsia="仿宋_GB2312"/>
          <w:color w:val="000000"/>
          <w:sz w:val="32"/>
          <w:szCs w:val="32"/>
          <w:highlight w:val="none"/>
        </w:rPr>
        <w:t>（项）</w:t>
      </w:r>
      <w:r>
        <w:rPr>
          <w:rFonts w:hint="eastAsia" w:ascii="仿宋_GB2312" w:eastAsia="仿宋_GB2312"/>
          <w:color w:val="000000"/>
          <w:sz w:val="32"/>
          <w:szCs w:val="32"/>
          <w:highlight w:val="none"/>
          <w:lang w:val="en-US" w:eastAsia="zh-CN"/>
        </w:rPr>
        <w:t>17.86</w:t>
      </w:r>
      <w:r>
        <w:rPr>
          <w:rFonts w:hint="eastAsia" w:ascii="仿宋_GB2312" w:eastAsia="仿宋_GB2312"/>
          <w:color w:val="000000"/>
          <w:sz w:val="32"/>
          <w:szCs w:val="32"/>
          <w:highlight w:val="none"/>
        </w:rPr>
        <w:t>万元，主要用于</w:t>
      </w:r>
      <w:r>
        <w:rPr>
          <w:rFonts w:hint="eastAsia" w:ascii="仿宋_GB2312" w:eastAsia="仿宋_GB2312"/>
          <w:color w:val="000000"/>
          <w:sz w:val="32"/>
          <w:szCs w:val="32"/>
          <w:highlight w:val="none"/>
          <w:lang w:val="en-US" w:eastAsia="zh-CN"/>
        </w:rPr>
        <w:t>公务员医疗补助缴费</w:t>
      </w:r>
      <w:r>
        <w:rPr>
          <w:rFonts w:hint="eastAsia" w:ascii="仿宋_GB2312"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jc w:val="left"/>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6</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住房保障支出</w:t>
      </w:r>
      <w:r>
        <w:rPr>
          <w:rFonts w:hint="eastAsia" w:ascii="仿宋_GB2312" w:eastAsia="仿宋_GB2312"/>
          <w:color w:val="000000"/>
          <w:sz w:val="32"/>
          <w:szCs w:val="32"/>
          <w:highlight w:val="none"/>
        </w:rPr>
        <w:t>（类）</w:t>
      </w:r>
      <w:r>
        <w:rPr>
          <w:rFonts w:hint="eastAsia" w:ascii="仿宋_GB2312" w:eastAsia="仿宋_GB2312"/>
          <w:color w:val="000000"/>
          <w:sz w:val="32"/>
          <w:szCs w:val="32"/>
          <w:highlight w:val="none"/>
          <w:lang w:val="en-US" w:eastAsia="zh-CN"/>
        </w:rPr>
        <w:t>住房改革支出</w:t>
      </w:r>
      <w:r>
        <w:rPr>
          <w:rFonts w:hint="eastAsia" w:ascii="仿宋_GB2312" w:eastAsia="仿宋_GB2312"/>
          <w:color w:val="000000"/>
          <w:sz w:val="32"/>
          <w:szCs w:val="32"/>
          <w:highlight w:val="none"/>
        </w:rPr>
        <w:t>（款）</w:t>
      </w:r>
      <w:r>
        <w:rPr>
          <w:rFonts w:hint="eastAsia" w:ascii="仿宋_GB2312" w:eastAsia="仿宋_GB2312"/>
          <w:color w:val="000000"/>
          <w:sz w:val="32"/>
          <w:szCs w:val="32"/>
          <w:highlight w:val="none"/>
          <w:lang w:val="en-US" w:eastAsia="zh-CN"/>
        </w:rPr>
        <w:t>住房公积金</w:t>
      </w:r>
      <w:r>
        <w:rPr>
          <w:rFonts w:hint="eastAsia" w:ascii="仿宋_GB2312" w:eastAsia="仿宋_GB2312"/>
          <w:color w:val="000000"/>
          <w:sz w:val="32"/>
          <w:szCs w:val="32"/>
          <w:highlight w:val="none"/>
        </w:rPr>
        <w:t>（项）</w:t>
      </w:r>
      <w:r>
        <w:rPr>
          <w:rFonts w:hint="eastAsia" w:ascii="仿宋_GB2312" w:eastAsia="仿宋_GB2312"/>
          <w:color w:val="000000"/>
          <w:sz w:val="32"/>
          <w:szCs w:val="32"/>
          <w:highlight w:val="none"/>
          <w:lang w:val="en-US" w:eastAsia="zh-CN"/>
        </w:rPr>
        <w:t>97.13</w:t>
      </w:r>
      <w:r>
        <w:rPr>
          <w:rFonts w:hint="eastAsia" w:ascii="仿宋_GB2312" w:eastAsia="仿宋_GB2312"/>
          <w:color w:val="000000"/>
          <w:sz w:val="32"/>
          <w:szCs w:val="32"/>
          <w:highlight w:val="none"/>
        </w:rPr>
        <w:t>万元，主要用于</w:t>
      </w:r>
      <w:r>
        <w:rPr>
          <w:rFonts w:hint="eastAsia" w:ascii="仿宋_GB2312" w:eastAsia="仿宋_GB2312"/>
          <w:color w:val="000000"/>
          <w:sz w:val="32"/>
          <w:szCs w:val="32"/>
          <w:highlight w:val="none"/>
          <w:lang w:eastAsia="zh-CN"/>
        </w:rPr>
        <w:t>住房公积金</w:t>
      </w:r>
      <w:r>
        <w:rPr>
          <w:rFonts w:hint="eastAsia" w:ascii="仿宋_GB2312" w:eastAsia="仿宋_GB2312"/>
          <w:color w:val="000000"/>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0" w:leftChars="0" w:right="0" w:rightChars="0" w:firstLine="0" w:firstLineChars="0"/>
        <w:textAlignment w:val="auto"/>
        <w:outlineLvl w:val="9"/>
        <w:rPr>
          <w:rFonts w:hint="eastAsia" w:ascii="楷体_GB2312" w:hAnsi="楷体_GB2312" w:eastAsia="楷体_GB2312" w:cs="楷体_GB2312"/>
          <w:b/>
          <w:bCs w:val="0"/>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 xml:space="preserve">    </w:t>
      </w:r>
      <w:r>
        <w:rPr>
          <w:rFonts w:hint="eastAsia" w:ascii="楷体_GB2312" w:hAnsi="楷体_GB2312" w:eastAsia="楷体_GB2312" w:cs="楷体_GB2312"/>
          <w:b/>
          <w:bCs w:val="0"/>
          <w:color w:val="000000"/>
          <w:sz w:val="32"/>
          <w:szCs w:val="32"/>
          <w:highlight w:val="none"/>
          <w:lang w:val="en-US" w:eastAsia="zh-CN"/>
        </w:rPr>
        <w:t>（六）</w:t>
      </w:r>
      <w:r>
        <w:rPr>
          <w:rFonts w:hint="eastAsia" w:ascii="楷体_GB2312" w:hAnsi="楷体_GB2312" w:eastAsia="楷体_GB2312" w:cs="楷体_GB2312"/>
          <w:b/>
          <w:bCs w:val="0"/>
          <w:color w:val="000000"/>
          <w:sz w:val="32"/>
          <w:szCs w:val="32"/>
          <w:highlight w:val="none"/>
          <w:lang w:eastAsia="zh-CN"/>
        </w:rPr>
        <w:t>关于衢州市财政国库支付中心</w:t>
      </w:r>
      <w:r>
        <w:rPr>
          <w:rFonts w:hint="eastAsia" w:ascii="楷体_GB2312" w:hAnsi="楷体_GB2312" w:eastAsia="楷体_GB2312" w:cs="楷体_GB2312"/>
          <w:b/>
          <w:bCs w:val="0"/>
          <w:color w:val="000000"/>
          <w:sz w:val="32"/>
          <w:szCs w:val="32"/>
          <w:highlight w:val="none"/>
          <w:lang w:val="en-US" w:eastAsia="zh-CN"/>
        </w:rPr>
        <w:t>2022</w:t>
      </w:r>
      <w:r>
        <w:rPr>
          <w:rFonts w:hint="eastAsia" w:ascii="楷体_GB2312" w:hAnsi="楷体_GB2312" w:eastAsia="楷体_GB2312" w:cs="楷体_GB2312"/>
          <w:b/>
          <w:bCs w:val="0"/>
          <w:color w:val="000000"/>
          <w:sz w:val="32"/>
          <w:szCs w:val="32"/>
          <w:highlight w:val="none"/>
        </w:rPr>
        <w:t>年</w:t>
      </w:r>
      <w:r>
        <w:rPr>
          <w:rFonts w:hint="eastAsia" w:ascii="楷体_GB2312" w:hAnsi="楷体_GB2312" w:eastAsia="楷体_GB2312" w:cs="楷体_GB2312"/>
          <w:b/>
          <w:bCs w:val="0"/>
          <w:color w:val="000000"/>
          <w:sz w:val="32"/>
          <w:szCs w:val="32"/>
          <w:highlight w:val="none"/>
          <w:lang w:eastAsia="zh-CN"/>
        </w:rPr>
        <w:t>一般公共预算基本支出情况说明</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0" w:leftChars="0" w:right="0" w:rightChars="0" w:firstLine="642" w:firstLineChars="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衢州市财政国库支付中心</w:t>
      </w:r>
      <w:r>
        <w:rPr>
          <w:rFonts w:hint="eastAsia" w:ascii="仿宋_GB2312" w:eastAsia="仿宋_GB2312"/>
          <w:color w:val="000000"/>
          <w:sz w:val="32"/>
          <w:szCs w:val="32"/>
          <w:highlight w:val="none"/>
          <w:lang w:val="en-US" w:eastAsia="zh-CN"/>
        </w:rPr>
        <w:t>2022</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一般公共预算基本支出</w:t>
      </w:r>
      <w:r>
        <w:rPr>
          <w:rFonts w:hint="eastAsia" w:ascii="仿宋_GB2312" w:eastAsia="仿宋_GB2312"/>
          <w:color w:val="000000"/>
          <w:sz w:val="32"/>
          <w:szCs w:val="32"/>
          <w:highlight w:val="none"/>
          <w:lang w:val="en-US" w:eastAsia="zh-CN"/>
        </w:rPr>
        <w:t>1114.88万元，其中：</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0" w:leftChars="0" w:right="0" w:rightChars="0" w:firstLine="642" w:firstLineChars="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人员经费</w:t>
      </w:r>
      <w:r>
        <w:rPr>
          <w:rFonts w:hint="eastAsia" w:ascii="仿宋_GB2312" w:eastAsia="仿宋_GB2312"/>
          <w:color w:val="000000"/>
          <w:sz w:val="32"/>
          <w:szCs w:val="32"/>
          <w:highlight w:val="none"/>
          <w:lang w:val="en-US" w:eastAsia="zh-CN"/>
        </w:rPr>
        <w:t>1046.33</w:t>
      </w:r>
      <w:r>
        <w:rPr>
          <w:rFonts w:hint="eastAsia" w:ascii="仿宋_GB2312" w:eastAsia="仿宋_GB2312" w:cs="Times New Roman"/>
          <w:b w:val="0"/>
          <w:color w:val="000000"/>
          <w:sz w:val="32"/>
          <w:szCs w:val="32"/>
          <w:highlight w:val="none"/>
          <w:lang w:val="en-US" w:eastAsia="zh-CN"/>
        </w:rPr>
        <w:t>万元，主要包括：基本工资、津贴补贴、奖金、机关事业单位基本养老保险缴费、职业年金缴费、职工基本医疗保险缴费、其他社会保障缴费、住房公积金、医疗费、其他工资福利支出、生活补助、救济费、医疗费补助、其他对个人和家庭的补助；</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0" w:leftChars="0" w:right="0" w:rightChars="0" w:firstLine="642" w:firstLineChars="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公用经费</w:t>
      </w:r>
      <w:r>
        <w:rPr>
          <w:rFonts w:hint="eastAsia" w:ascii="仿宋_GB2312" w:eastAsia="仿宋_GB2312"/>
          <w:color w:val="000000"/>
          <w:sz w:val="32"/>
          <w:szCs w:val="32"/>
          <w:highlight w:val="none"/>
          <w:lang w:val="en-US" w:eastAsia="zh-CN"/>
        </w:rPr>
        <w:t>68.55</w:t>
      </w:r>
      <w:r>
        <w:rPr>
          <w:rFonts w:hint="eastAsia" w:ascii="仿宋_GB2312" w:eastAsia="仿宋_GB2312" w:cs="Times New Roman"/>
          <w:b w:val="0"/>
          <w:color w:val="000000"/>
          <w:sz w:val="32"/>
          <w:szCs w:val="32"/>
          <w:highlight w:val="none"/>
          <w:lang w:val="en-US" w:eastAsia="zh-CN"/>
        </w:rPr>
        <w:t>万元，主要包括：办公费、印刷费、邮电费、物业管理费、差旅费、维修（护）费、会议费、培训费、公务接待费、劳务费、工会经费、福利费、其他交通费用、其他商品和服务支出、办公设备购置。</w:t>
      </w:r>
    </w:p>
    <w:p>
      <w:pPr>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2"/>
        <w:textAlignment w:val="auto"/>
        <w:outlineLvl w:val="9"/>
        <w:rPr>
          <w:rFonts w:hint="eastAsia" w:ascii="楷体_GB2312" w:hAnsi="楷体_GB2312" w:eastAsia="楷体_GB2312" w:cs="楷体_GB2312"/>
          <w:b/>
          <w:bCs w:val="0"/>
          <w:color w:val="000000"/>
          <w:sz w:val="32"/>
          <w:szCs w:val="32"/>
          <w:highlight w:val="none"/>
          <w:lang w:eastAsia="zh-CN"/>
        </w:rPr>
      </w:pPr>
      <w:r>
        <w:rPr>
          <w:rFonts w:hint="eastAsia" w:ascii="楷体_GB2312" w:hAnsi="楷体_GB2312" w:eastAsia="楷体_GB2312" w:cs="楷体_GB2312"/>
          <w:b/>
          <w:bCs w:val="0"/>
          <w:color w:val="000000"/>
          <w:sz w:val="32"/>
          <w:szCs w:val="32"/>
          <w:highlight w:val="none"/>
          <w:lang w:eastAsia="zh-CN"/>
        </w:rPr>
        <w:t>（七）关于衢州市财政国库支付中心</w:t>
      </w:r>
      <w:r>
        <w:rPr>
          <w:rFonts w:hint="eastAsia" w:ascii="楷体_GB2312" w:hAnsi="楷体_GB2312" w:eastAsia="楷体_GB2312" w:cs="楷体_GB2312"/>
          <w:b/>
          <w:bCs w:val="0"/>
          <w:color w:val="000000"/>
          <w:sz w:val="32"/>
          <w:szCs w:val="32"/>
          <w:highlight w:val="none"/>
          <w:lang w:val="en-US" w:eastAsia="zh-CN"/>
        </w:rPr>
        <w:t>2022</w:t>
      </w:r>
      <w:r>
        <w:rPr>
          <w:rFonts w:hint="eastAsia" w:ascii="楷体_GB2312" w:hAnsi="楷体_GB2312" w:eastAsia="楷体_GB2312" w:cs="楷体_GB2312"/>
          <w:b/>
          <w:bCs w:val="0"/>
          <w:color w:val="000000"/>
          <w:sz w:val="32"/>
          <w:szCs w:val="32"/>
          <w:highlight w:val="none"/>
        </w:rPr>
        <w:t>年</w:t>
      </w:r>
      <w:r>
        <w:rPr>
          <w:rFonts w:hint="eastAsia" w:ascii="楷体_GB2312" w:hAnsi="楷体_GB2312" w:eastAsia="楷体_GB2312" w:cs="楷体_GB2312"/>
          <w:b/>
          <w:bCs w:val="0"/>
          <w:color w:val="000000"/>
          <w:sz w:val="32"/>
          <w:szCs w:val="32"/>
          <w:highlight w:val="none"/>
          <w:lang w:eastAsia="zh-CN"/>
        </w:rPr>
        <w:t>政府性基金预算支出情况说明</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firstLineChars="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衢州市财政国库支付中心</w:t>
      </w:r>
      <w:r>
        <w:rPr>
          <w:rFonts w:hint="eastAsia" w:ascii="仿宋_GB2312" w:eastAsia="仿宋_GB2312"/>
          <w:color w:val="000000"/>
          <w:sz w:val="32"/>
          <w:szCs w:val="32"/>
          <w:highlight w:val="none"/>
          <w:lang w:val="en-US" w:eastAsia="zh-CN"/>
        </w:rPr>
        <w:t>2022年没有使用政府性基金预算拨款安排的支出。</w:t>
      </w:r>
    </w:p>
    <w:p>
      <w:pPr>
        <w:keepNext w:val="0"/>
        <w:keepLines w:val="0"/>
        <w:pageBreakBefore w:val="0"/>
        <w:numPr>
          <w:ilvl w:val="0"/>
          <w:numId w:val="2"/>
        </w:numPr>
        <w:kinsoku/>
        <w:wordWrap/>
        <w:overflowPunct/>
        <w:topLinePunct w:val="0"/>
        <w:autoSpaceDE/>
        <w:autoSpaceDN/>
        <w:bidi w:val="0"/>
        <w:adjustRightInd/>
        <w:snapToGrid w:val="0"/>
        <w:spacing w:line="540" w:lineRule="exact"/>
        <w:ind w:right="0" w:rightChars="0" w:firstLine="642"/>
        <w:textAlignment w:val="auto"/>
        <w:outlineLvl w:val="9"/>
        <w:rPr>
          <w:rFonts w:hint="eastAsia" w:ascii="楷体_GB2312" w:hAnsi="楷体_GB2312" w:eastAsia="楷体_GB2312" w:cs="楷体_GB2312"/>
          <w:b/>
          <w:bCs w:val="0"/>
          <w:color w:val="000000"/>
          <w:sz w:val="32"/>
          <w:szCs w:val="32"/>
          <w:highlight w:val="none"/>
          <w:lang w:eastAsia="zh-CN"/>
        </w:rPr>
      </w:pPr>
      <w:r>
        <w:rPr>
          <w:rFonts w:hint="eastAsia" w:ascii="楷体_GB2312" w:hAnsi="楷体_GB2312" w:eastAsia="楷体_GB2312" w:cs="楷体_GB2312"/>
          <w:b/>
          <w:bCs w:val="0"/>
          <w:color w:val="000000"/>
          <w:sz w:val="32"/>
          <w:szCs w:val="32"/>
          <w:highlight w:val="none"/>
          <w:lang w:eastAsia="zh-CN"/>
        </w:rPr>
        <w:t>关于衢州市财政国库支付中心</w:t>
      </w:r>
      <w:r>
        <w:rPr>
          <w:rFonts w:hint="eastAsia" w:ascii="楷体_GB2312" w:hAnsi="楷体_GB2312" w:eastAsia="楷体_GB2312" w:cs="楷体_GB2312"/>
          <w:b/>
          <w:bCs w:val="0"/>
          <w:color w:val="000000"/>
          <w:sz w:val="32"/>
          <w:szCs w:val="32"/>
          <w:highlight w:val="none"/>
          <w:lang w:val="en-US" w:eastAsia="zh-CN"/>
        </w:rPr>
        <w:t>2022</w:t>
      </w:r>
      <w:r>
        <w:rPr>
          <w:rFonts w:hint="eastAsia" w:ascii="楷体_GB2312" w:hAnsi="楷体_GB2312" w:eastAsia="楷体_GB2312" w:cs="楷体_GB2312"/>
          <w:b/>
          <w:bCs w:val="0"/>
          <w:color w:val="000000"/>
          <w:sz w:val="32"/>
          <w:szCs w:val="32"/>
          <w:highlight w:val="none"/>
          <w:lang w:eastAsia="zh-CN"/>
        </w:rPr>
        <w:t>年</w:t>
      </w:r>
      <w:r>
        <w:rPr>
          <w:rFonts w:hint="eastAsia" w:ascii="楷体_GB2312" w:hAnsi="楷体_GB2312" w:eastAsia="楷体_GB2312" w:cs="楷体_GB2312"/>
          <w:b/>
          <w:bCs w:val="0"/>
          <w:color w:val="000000"/>
          <w:sz w:val="32"/>
          <w:szCs w:val="32"/>
          <w:highlight w:val="none"/>
          <w:lang w:val="en-US" w:eastAsia="zh-CN"/>
        </w:rPr>
        <w:t>国有资本经营预算</w:t>
      </w:r>
      <w:r>
        <w:rPr>
          <w:rFonts w:hint="eastAsia" w:ascii="楷体_GB2312" w:hAnsi="楷体_GB2312" w:eastAsia="楷体_GB2312" w:cs="楷体_GB2312"/>
          <w:b/>
          <w:bCs w:val="0"/>
          <w:color w:val="000000"/>
          <w:sz w:val="32"/>
          <w:szCs w:val="32"/>
          <w:highlight w:val="none"/>
          <w:lang w:eastAsia="zh-CN"/>
        </w:rPr>
        <w:t>支出情况说明</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40" w:firstLineChars="0"/>
        <w:textAlignment w:val="auto"/>
        <w:outlineLvl w:val="9"/>
        <w:rPr>
          <w:rFonts w:hint="eastAsia"/>
          <w:highlight w:val="none"/>
          <w:lang w:eastAsia="zh-CN"/>
        </w:rPr>
      </w:pPr>
      <w:r>
        <w:rPr>
          <w:rFonts w:hint="eastAsia" w:ascii="仿宋_GB2312" w:eastAsia="仿宋_GB2312"/>
          <w:color w:val="000000"/>
          <w:sz w:val="32"/>
          <w:szCs w:val="32"/>
          <w:highlight w:val="none"/>
          <w:lang w:eastAsia="zh-CN"/>
        </w:rPr>
        <w:t>衢州市财政国库支付中心</w:t>
      </w:r>
      <w:r>
        <w:rPr>
          <w:rFonts w:hint="eastAsia" w:ascii="仿宋_GB2312" w:eastAsia="仿宋_GB2312"/>
          <w:color w:val="000000"/>
          <w:sz w:val="32"/>
          <w:szCs w:val="32"/>
          <w:highlight w:val="none"/>
          <w:lang w:val="en-US" w:eastAsia="zh-CN"/>
        </w:rPr>
        <w:t>2022年没有使用国有资本经营预算拨款安排的支出。</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630" w:firstLineChars="196"/>
        <w:textAlignment w:val="auto"/>
        <w:outlineLvl w:val="9"/>
        <w:rPr>
          <w:rFonts w:hint="eastAsia" w:ascii="楷体_GB2312" w:hAnsi="楷体_GB2312" w:eastAsia="楷体_GB2312" w:cs="楷体_GB2312"/>
          <w:b/>
          <w:bCs w:val="0"/>
          <w:color w:val="000000"/>
          <w:sz w:val="32"/>
          <w:szCs w:val="32"/>
          <w:highlight w:val="none"/>
        </w:rPr>
      </w:pPr>
      <w:r>
        <w:rPr>
          <w:rFonts w:hint="eastAsia" w:ascii="楷体_GB2312" w:hAnsi="楷体_GB2312" w:eastAsia="楷体_GB2312" w:cs="楷体_GB2312"/>
          <w:b/>
          <w:bCs w:val="0"/>
          <w:color w:val="000000"/>
          <w:sz w:val="32"/>
          <w:szCs w:val="32"/>
          <w:highlight w:val="none"/>
          <w:lang w:eastAsia="zh-CN"/>
        </w:rPr>
        <w:t>（九）关于衢州市财政国库支付中心</w:t>
      </w:r>
      <w:r>
        <w:rPr>
          <w:rFonts w:hint="eastAsia" w:ascii="楷体_GB2312" w:hAnsi="楷体_GB2312" w:eastAsia="楷体_GB2312" w:cs="楷体_GB2312"/>
          <w:b/>
          <w:bCs w:val="0"/>
          <w:color w:val="000000"/>
          <w:sz w:val="32"/>
          <w:szCs w:val="32"/>
          <w:highlight w:val="none"/>
          <w:lang w:val="en-US" w:eastAsia="zh-CN"/>
        </w:rPr>
        <w:t>2022</w:t>
      </w:r>
      <w:r>
        <w:rPr>
          <w:rFonts w:hint="eastAsia" w:ascii="楷体_GB2312" w:hAnsi="楷体_GB2312" w:eastAsia="楷体_GB2312" w:cs="楷体_GB2312"/>
          <w:b/>
          <w:bCs w:val="0"/>
          <w:color w:val="000000"/>
          <w:sz w:val="32"/>
          <w:szCs w:val="32"/>
          <w:highlight w:val="none"/>
        </w:rPr>
        <w:t>年</w:t>
      </w:r>
      <w:r>
        <w:rPr>
          <w:rFonts w:hint="eastAsia" w:ascii="楷体_GB2312" w:hAnsi="楷体_GB2312" w:eastAsia="楷体_GB2312" w:cs="楷体_GB2312"/>
          <w:b/>
          <w:bCs w:val="0"/>
          <w:sz w:val="32"/>
          <w:szCs w:val="32"/>
          <w:highlight w:val="none"/>
          <w:lang w:eastAsia="zh-CN"/>
        </w:rPr>
        <w:t>一般公共预算</w:t>
      </w:r>
      <w:r>
        <w:rPr>
          <w:rFonts w:hint="eastAsia" w:ascii="楷体_GB2312" w:hAnsi="楷体_GB2312" w:eastAsia="楷体_GB2312" w:cs="楷体_GB2312"/>
          <w:b/>
          <w:bCs w:val="0"/>
          <w:color w:val="000000"/>
          <w:sz w:val="32"/>
          <w:szCs w:val="32"/>
          <w:highlight w:val="none"/>
        </w:rPr>
        <w:t>“三公”经费预算情况</w:t>
      </w:r>
      <w:r>
        <w:rPr>
          <w:rFonts w:hint="eastAsia" w:ascii="楷体_GB2312" w:hAnsi="楷体_GB2312" w:eastAsia="楷体_GB2312" w:cs="楷体_GB2312"/>
          <w:b/>
          <w:bCs w:val="0"/>
          <w:color w:val="000000"/>
          <w:sz w:val="32"/>
          <w:szCs w:val="32"/>
          <w:highlight w:val="none"/>
          <w:lang w:eastAsia="zh-CN"/>
        </w:rPr>
        <w:t>说明</w:t>
      </w:r>
    </w:p>
    <w:p>
      <w:pPr>
        <w:keepNext w:val="0"/>
        <w:keepLines w:val="0"/>
        <w:pageBreakBefore w:val="0"/>
        <w:kinsoku/>
        <w:wordWrap/>
        <w:overflowPunct/>
        <w:topLinePunct w:val="0"/>
        <w:autoSpaceDE/>
        <w:autoSpaceDN/>
        <w:bidi w:val="0"/>
        <w:adjustRightInd/>
        <w:snapToGrid w:val="0"/>
        <w:spacing w:line="540" w:lineRule="exact"/>
        <w:ind w:right="0" w:rightChars="0" w:firstLine="640" w:firstLineChars="200"/>
        <w:textAlignment w:val="auto"/>
        <w:rPr>
          <w:rFonts w:hint="eastAsia" w:ascii="仿宋_GB2312" w:hAnsi="仿宋_GB2312" w:eastAsia="仿宋_GB2312" w:cs="Times New Roman"/>
          <w:color w:val="auto"/>
          <w:kern w:val="2"/>
          <w:sz w:val="32"/>
          <w:szCs w:val="20"/>
          <w:highlight w:val="none"/>
          <w:lang w:val="en-US" w:eastAsia="zh-CN"/>
        </w:rPr>
      </w:pPr>
      <w:r>
        <w:rPr>
          <w:rFonts w:hint="eastAsia" w:ascii="仿宋_GB2312" w:eastAsia="仿宋_GB2312"/>
          <w:color w:val="000000"/>
          <w:sz w:val="32"/>
          <w:szCs w:val="32"/>
          <w:highlight w:val="none"/>
          <w:lang w:eastAsia="zh-CN"/>
        </w:rPr>
        <w:t>衢州市财政国库支付中心</w:t>
      </w:r>
      <w:r>
        <w:rPr>
          <w:rFonts w:hint="eastAsia" w:ascii="仿宋_GB2312" w:hAnsi="仿宋_GB2312" w:eastAsia="仿宋_GB2312"/>
          <w:sz w:val="32"/>
          <w:highlight w:val="none"/>
          <w:lang w:val="en-US" w:eastAsia="zh-CN"/>
        </w:rPr>
        <w:t>2022</w:t>
      </w:r>
      <w:r>
        <w:rPr>
          <w:rFonts w:hint="eastAsia" w:ascii="仿宋_GB2312" w:hAnsi="仿宋_GB2312" w:eastAsia="仿宋_GB2312"/>
          <w:sz w:val="32"/>
          <w:highlight w:val="none"/>
        </w:rPr>
        <w:t>年“三公”经费预算数为</w:t>
      </w:r>
      <w:r>
        <w:rPr>
          <w:rFonts w:hint="eastAsia" w:ascii="仿宋_GB2312" w:eastAsia="仿宋_GB2312"/>
          <w:color w:val="000000"/>
          <w:sz w:val="32"/>
          <w:szCs w:val="32"/>
          <w:highlight w:val="none"/>
          <w:lang w:val="en-US" w:eastAsia="zh-CN"/>
        </w:rPr>
        <w:t>0.74</w:t>
      </w:r>
      <w:r>
        <w:rPr>
          <w:rFonts w:hint="eastAsia" w:ascii="仿宋_GB2312" w:hAnsi="仿宋_GB2312" w:eastAsia="仿宋_GB2312"/>
          <w:sz w:val="32"/>
          <w:highlight w:val="none"/>
        </w:rPr>
        <w:t>万元</w:t>
      </w:r>
      <w:r>
        <w:rPr>
          <w:rFonts w:hint="eastAsia" w:ascii="仿宋_GB2312" w:hAnsi="仿宋_GB2312" w:eastAsia="仿宋_GB2312"/>
          <w:sz w:val="32"/>
          <w:highlight w:val="none"/>
          <w:lang w:eastAsia="zh-CN"/>
        </w:rPr>
        <w:t>，</w:t>
      </w:r>
      <w:r>
        <w:rPr>
          <w:rFonts w:hint="eastAsia" w:ascii="仿宋_GB2312" w:hAnsi="仿宋_GB2312" w:eastAsia="仿宋_GB2312" w:cs="Times New Roman"/>
          <w:kern w:val="2"/>
          <w:sz w:val="32"/>
          <w:szCs w:val="20"/>
          <w:highlight w:val="none"/>
          <w:shd w:val="clear" w:color="auto" w:fill="FFFFFF"/>
          <w:lang w:val="en-US" w:eastAsia="zh-CN" w:bidi="ar"/>
        </w:rPr>
        <w:t>与上年预算数持平。</w:t>
      </w:r>
    </w:p>
    <w:p>
      <w:pPr>
        <w:keepNext w:val="0"/>
        <w:keepLines w:val="0"/>
        <w:pageBreakBefore w:val="0"/>
        <w:kinsoku/>
        <w:wordWrap/>
        <w:overflowPunct/>
        <w:topLinePunct w:val="0"/>
        <w:autoSpaceDE/>
        <w:autoSpaceDN/>
        <w:bidi w:val="0"/>
        <w:adjustRightInd/>
        <w:snapToGrid w:val="0"/>
        <w:spacing w:line="540" w:lineRule="exact"/>
        <w:ind w:right="0" w:rightChars="0" w:firstLine="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.公务接待费：</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rPr>
        <w:t>年安排公务接待费预算</w:t>
      </w:r>
      <w:r>
        <w:rPr>
          <w:rFonts w:hint="eastAsia" w:ascii="仿宋_GB2312" w:eastAsia="仿宋_GB2312"/>
          <w:color w:val="000000"/>
          <w:sz w:val="32"/>
          <w:szCs w:val="32"/>
          <w:highlight w:val="none"/>
          <w:lang w:val="en-US" w:eastAsia="zh-CN"/>
        </w:rPr>
        <w:t>0.74</w:t>
      </w:r>
      <w:r>
        <w:rPr>
          <w:rFonts w:hint="eastAsia" w:ascii="仿宋_GB2312" w:hAnsi="仿宋_GB2312" w:eastAsia="仿宋_GB2312" w:cs="仿宋_GB2312"/>
          <w:sz w:val="32"/>
          <w:szCs w:val="32"/>
          <w:highlight w:val="none"/>
        </w:rPr>
        <w:t>万元，</w:t>
      </w:r>
      <w:r>
        <w:rPr>
          <w:rFonts w:hint="eastAsia" w:ascii="仿宋_GB2312" w:hAnsi="仿宋_GB2312" w:eastAsia="仿宋_GB2312" w:cs="Times New Roman"/>
          <w:kern w:val="2"/>
          <w:sz w:val="32"/>
          <w:szCs w:val="20"/>
          <w:highlight w:val="none"/>
          <w:shd w:val="clear" w:color="auto" w:fill="FFFFFF"/>
          <w:lang w:val="en-US" w:eastAsia="zh-CN" w:bidi="ar"/>
        </w:rPr>
        <w:t>与上年预算数持平</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line="540" w:lineRule="exact"/>
        <w:ind w:right="0" w:rightChars="0" w:firstLine="630" w:firstLineChars="196"/>
        <w:textAlignment w:val="auto"/>
        <w:outlineLvl w:val="9"/>
        <w:rPr>
          <w:rFonts w:hint="eastAsia" w:ascii="楷体_GB2312" w:hAnsi="楷体_GB2312" w:eastAsia="楷体_GB2312" w:cs="楷体_GB2312"/>
          <w:b/>
          <w:bCs w:val="0"/>
          <w:sz w:val="32"/>
          <w:szCs w:val="32"/>
          <w:highlight w:val="none"/>
        </w:rPr>
      </w:pPr>
      <w:r>
        <w:rPr>
          <w:rFonts w:hint="eastAsia" w:ascii="楷体_GB2312" w:hAnsi="楷体_GB2312" w:eastAsia="楷体_GB2312" w:cs="楷体_GB2312"/>
          <w:b/>
          <w:bCs w:val="0"/>
          <w:sz w:val="32"/>
          <w:szCs w:val="32"/>
          <w:highlight w:val="none"/>
        </w:rPr>
        <w:t>（</w:t>
      </w:r>
      <w:r>
        <w:rPr>
          <w:rFonts w:hint="eastAsia" w:ascii="楷体_GB2312" w:hAnsi="楷体_GB2312" w:eastAsia="楷体_GB2312" w:cs="楷体_GB2312"/>
          <w:b/>
          <w:bCs w:val="0"/>
          <w:sz w:val="32"/>
          <w:szCs w:val="32"/>
          <w:highlight w:val="none"/>
          <w:lang w:eastAsia="zh-CN"/>
        </w:rPr>
        <w:t>十</w:t>
      </w:r>
      <w:r>
        <w:rPr>
          <w:rFonts w:hint="eastAsia" w:ascii="楷体_GB2312" w:hAnsi="楷体_GB2312" w:eastAsia="楷体_GB2312" w:cs="楷体_GB2312"/>
          <w:b/>
          <w:bCs w:val="0"/>
          <w:sz w:val="32"/>
          <w:szCs w:val="32"/>
          <w:highlight w:val="none"/>
        </w:rPr>
        <w:t>）其他重要事项的情况说明</w:t>
      </w:r>
    </w:p>
    <w:p>
      <w:pPr>
        <w:pStyle w:val="18"/>
        <w:keepNext w:val="0"/>
        <w:keepLines w:val="0"/>
        <w:pageBreakBefore w:val="0"/>
        <w:kinsoku/>
        <w:wordWrap/>
        <w:overflowPunct/>
        <w:topLinePunct w:val="0"/>
        <w:autoSpaceDE/>
        <w:autoSpaceDN/>
        <w:bidi w:val="0"/>
        <w:adjustRightInd/>
        <w:snapToGrid w:val="0"/>
        <w:spacing w:line="540" w:lineRule="exact"/>
        <w:ind w:right="0" w:rightChars="0" w:firstLine="600"/>
        <w:textAlignment w:val="auto"/>
        <w:outlineLvl w:val="9"/>
        <w:rPr>
          <w:rFonts w:hint="eastAsia" w:ascii="仿宋_GB2312" w:eastAsia="仿宋_GB2312"/>
          <w:b/>
          <w:bCs/>
          <w:sz w:val="32"/>
          <w:szCs w:val="32"/>
          <w:highlight w:val="none"/>
          <w:u w:val="none"/>
          <w:lang w:eastAsia="zh-CN"/>
        </w:rPr>
      </w:pPr>
      <w:r>
        <w:rPr>
          <w:rFonts w:hint="eastAsia" w:ascii="仿宋_GB2312" w:eastAsia="仿宋_GB2312"/>
          <w:b/>
          <w:bCs/>
          <w:sz w:val="32"/>
          <w:szCs w:val="32"/>
          <w:highlight w:val="none"/>
          <w:u w:val="none"/>
          <w:lang w:val="en-US" w:eastAsia="zh-CN"/>
        </w:rPr>
        <w:t>1.</w:t>
      </w:r>
      <w:r>
        <w:rPr>
          <w:rFonts w:hint="eastAsia" w:ascii="仿宋_GB2312" w:eastAsia="仿宋_GB2312"/>
          <w:b/>
          <w:bCs/>
          <w:sz w:val="32"/>
          <w:szCs w:val="32"/>
          <w:highlight w:val="none"/>
          <w:u w:val="none"/>
          <w:lang w:eastAsia="zh-CN"/>
        </w:rPr>
        <w:t>机关运行经费</w:t>
      </w:r>
    </w:p>
    <w:p>
      <w:pPr>
        <w:pStyle w:val="18"/>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sz w:val="32"/>
          <w:szCs w:val="32"/>
          <w:highlight w:val="none"/>
          <w:u w:val="none"/>
        </w:rPr>
      </w:pPr>
      <w:r>
        <w:rPr>
          <w:rFonts w:hint="eastAsia" w:ascii="仿宋_GB2312" w:eastAsia="仿宋_GB2312"/>
          <w:sz w:val="32"/>
          <w:szCs w:val="32"/>
          <w:highlight w:val="none"/>
          <w:u w:val="none"/>
          <w:lang w:val="en-US" w:eastAsia="zh-CN"/>
        </w:rPr>
        <w:t>2022年</w:t>
      </w:r>
      <w:r>
        <w:rPr>
          <w:rFonts w:hint="eastAsia" w:ascii="仿宋_GB2312" w:eastAsia="仿宋_GB2312"/>
          <w:color w:val="000000"/>
          <w:sz w:val="32"/>
          <w:szCs w:val="32"/>
          <w:highlight w:val="none"/>
          <w:lang w:eastAsia="zh-CN"/>
        </w:rPr>
        <w:t>衢州市财政国库支付中心机关运行经费财政拨款预算</w:t>
      </w:r>
      <w:r>
        <w:rPr>
          <w:rFonts w:hint="eastAsia" w:ascii="仿宋_GB2312" w:eastAsia="仿宋_GB2312"/>
          <w:color w:val="000000"/>
          <w:sz w:val="32"/>
          <w:szCs w:val="32"/>
          <w:highlight w:val="none"/>
          <w:lang w:val="en-US" w:eastAsia="zh-CN"/>
        </w:rPr>
        <w:t>68.55万元，比上年预算减少34.49</w:t>
      </w:r>
      <w:r>
        <w:rPr>
          <w:rFonts w:hint="eastAsia" w:ascii="仿宋_GB2312" w:eastAsia="仿宋_GB2312"/>
          <w:sz w:val="32"/>
          <w:szCs w:val="32"/>
          <w:highlight w:val="none"/>
        </w:rPr>
        <w:t>万元</w:t>
      </w:r>
      <w:r>
        <w:rPr>
          <w:rFonts w:hint="eastAsia" w:ascii="仿宋_GB2312" w:hAnsi="仿宋_GB2312" w:eastAsia="仿宋_GB2312" w:cs="Times New Roman"/>
          <w:kern w:val="2"/>
          <w:sz w:val="32"/>
          <w:szCs w:val="20"/>
          <w:highlight w:val="none"/>
          <w:shd w:val="clear" w:color="auto" w:fill="auto"/>
          <w:lang w:val="en-US" w:eastAsia="zh-CN" w:bidi="ar"/>
        </w:rPr>
        <w:t>，下降33.47%，主要是贯彻节约型机关理念，经费节支</w:t>
      </w:r>
      <w:r>
        <w:rPr>
          <w:rFonts w:hint="eastAsia" w:ascii="仿宋_GB2312" w:eastAsia="仿宋_GB2312"/>
          <w:color w:val="000000"/>
          <w:sz w:val="32"/>
          <w:szCs w:val="32"/>
          <w:highlight w:val="none"/>
          <w:lang w:val="en-US" w:eastAsia="zh-CN"/>
        </w:rPr>
        <w:t>。</w:t>
      </w:r>
    </w:p>
    <w:p>
      <w:pPr>
        <w:pStyle w:val="18"/>
        <w:keepNext w:val="0"/>
        <w:keepLines w:val="0"/>
        <w:pageBreakBefore w:val="0"/>
        <w:numPr>
          <w:ilvl w:val="0"/>
          <w:numId w:val="3"/>
        </w:numPr>
        <w:kinsoku/>
        <w:wordWrap/>
        <w:overflowPunct/>
        <w:topLinePunct w:val="0"/>
        <w:autoSpaceDE/>
        <w:autoSpaceDN/>
        <w:bidi w:val="0"/>
        <w:adjustRightInd/>
        <w:snapToGrid w:val="0"/>
        <w:spacing w:line="540" w:lineRule="exact"/>
        <w:ind w:right="0" w:rightChars="0" w:firstLine="60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政府采购情况</w:t>
      </w:r>
    </w:p>
    <w:p>
      <w:pPr>
        <w:pStyle w:val="18"/>
        <w:keepNext w:val="0"/>
        <w:keepLines w:val="0"/>
        <w:pageBreakBefore w:val="0"/>
        <w:kinsoku/>
        <w:wordWrap/>
        <w:overflowPunct/>
        <w:topLinePunct w:val="0"/>
        <w:autoSpaceDE/>
        <w:autoSpaceDN/>
        <w:bidi w:val="0"/>
        <w:adjustRightInd/>
        <w:snapToGrid w:val="0"/>
        <w:spacing w:line="540" w:lineRule="exact"/>
        <w:ind w:right="0" w:rightChars="0" w:firstLine="640" w:firstLineChars="200"/>
        <w:textAlignment w:val="auto"/>
        <w:outlineLvl w:val="9"/>
        <w:rPr>
          <w:rFonts w:hint="default" w:ascii="仿宋_GB2312" w:eastAsia="仿宋_GB2312"/>
          <w:sz w:val="32"/>
          <w:szCs w:val="32"/>
          <w:highlight w:val="none"/>
          <w:u w:val="none"/>
          <w:lang w:val="en-US" w:eastAsia="zh-CN"/>
        </w:rPr>
      </w:pPr>
      <w:r>
        <w:rPr>
          <w:rFonts w:hint="eastAsia" w:ascii="仿宋_GB2312" w:eastAsia="仿宋_GB2312"/>
          <w:b w:val="0"/>
          <w:bCs w:val="0"/>
          <w:sz w:val="32"/>
          <w:szCs w:val="32"/>
          <w:highlight w:val="none"/>
          <w:u w:val="none"/>
          <w:lang w:val="en-US" w:eastAsia="zh-CN"/>
        </w:rPr>
        <w:t>2022年</w:t>
      </w:r>
      <w:r>
        <w:rPr>
          <w:rFonts w:hint="eastAsia" w:ascii="仿宋_GB2312" w:eastAsia="仿宋_GB2312"/>
          <w:color w:val="000000"/>
          <w:sz w:val="32"/>
          <w:szCs w:val="32"/>
          <w:highlight w:val="none"/>
          <w:lang w:eastAsia="zh-CN"/>
        </w:rPr>
        <w:t>衢州市财政国库支付中心政府采购预算总额</w:t>
      </w:r>
      <w:r>
        <w:rPr>
          <w:rFonts w:hint="eastAsia" w:ascii="仿宋_GB2312" w:eastAsia="仿宋_GB2312"/>
          <w:color w:val="000000"/>
          <w:sz w:val="32"/>
          <w:szCs w:val="32"/>
          <w:highlight w:val="none"/>
          <w:lang w:val="en-US" w:eastAsia="zh-CN"/>
        </w:rPr>
        <w:t>5万元，其中政府采购货物预算5万元、政府采购工程预算为0万元、政府采购服务预算为0万元。</w:t>
      </w:r>
    </w:p>
    <w:p>
      <w:pPr>
        <w:pStyle w:val="18"/>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642" w:firstLineChars="0"/>
        <w:textAlignment w:val="auto"/>
        <w:outlineLvl w:val="9"/>
        <w:rPr>
          <w:rFonts w:hint="eastAsia" w:ascii="仿宋_GB2312" w:eastAsia="仿宋_GB2312"/>
          <w:sz w:val="32"/>
          <w:szCs w:val="32"/>
          <w:highlight w:val="none"/>
          <w:u w:val="none"/>
          <w:lang w:val="en-US" w:eastAsia="zh-CN"/>
        </w:rPr>
      </w:pPr>
      <w:r>
        <w:rPr>
          <w:rFonts w:hint="eastAsia" w:ascii="仿宋_GB2312" w:eastAsia="仿宋_GB2312"/>
          <w:b/>
          <w:bCs/>
          <w:sz w:val="32"/>
          <w:szCs w:val="32"/>
          <w:highlight w:val="none"/>
          <w:u w:val="none"/>
          <w:lang w:val="en-US" w:eastAsia="zh-CN"/>
        </w:rPr>
        <w:t>3.国有资产占有使用情况</w:t>
      </w:r>
    </w:p>
    <w:p>
      <w:pPr>
        <w:keepNext w:val="0"/>
        <w:keepLines w:val="0"/>
        <w:pageBreakBefore w:val="0"/>
        <w:kinsoku/>
        <w:wordWrap/>
        <w:overflowPunct/>
        <w:topLinePunct w:val="0"/>
        <w:autoSpaceDE/>
        <w:autoSpaceDN/>
        <w:bidi w:val="0"/>
        <w:adjustRightInd/>
        <w:snapToGrid w:val="0"/>
        <w:spacing w:line="540" w:lineRule="exact"/>
        <w:ind w:right="0" w:rightChars="0"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6"/>
          <w:sz w:val="32"/>
          <w:szCs w:val="32"/>
          <w:highlight w:val="none"/>
          <w:u w:val="none"/>
          <w:lang w:val="en-US" w:eastAsia="zh-CN"/>
        </w:rPr>
        <w:t>截至2021年12月31日，</w:t>
      </w:r>
      <w:r>
        <w:rPr>
          <w:rFonts w:hint="eastAsia" w:ascii="仿宋_GB2312" w:hAnsi="仿宋_GB2312" w:eastAsia="仿宋_GB2312" w:cs="仿宋_GB2312"/>
          <w:color w:val="auto"/>
          <w:spacing w:val="6"/>
          <w:sz w:val="32"/>
          <w:szCs w:val="32"/>
          <w:highlight w:val="none"/>
          <w:lang w:eastAsia="zh-CN"/>
        </w:rPr>
        <w:t>衢州市财政国库支付中心共有车辆</w:t>
      </w:r>
      <w:r>
        <w:rPr>
          <w:rFonts w:hint="eastAsia" w:ascii="仿宋_GB2312" w:hAnsi="仿宋_GB2312" w:eastAsia="仿宋_GB2312" w:cs="仿宋_GB2312"/>
          <w:color w:val="auto"/>
          <w:spacing w:val="6"/>
          <w:sz w:val="32"/>
          <w:szCs w:val="32"/>
          <w:highlight w:val="none"/>
          <w:lang w:val="en-US" w:eastAsia="zh-CN"/>
        </w:rPr>
        <w:t>0</w:t>
      </w:r>
      <w:r>
        <w:rPr>
          <w:rFonts w:hint="eastAsia" w:ascii="仿宋_GB2312" w:hAnsi="仿宋_GB2312" w:eastAsia="仿宋_GB2312" w:cs="仿宋_GB2312"/>
          <w:color w:val="auto"/>
          <w:sz w:val="32"/>
          <w:szCs w:val="32"/>
          <w:highlight w:val="none"/>
          <w:lang w:val="en-US" w:eastAsia="zh-CN"/>
        </w:rPr>
        <w:t>辆。</w:t>
      </w:r>
    </w:p>
    <w:p>
      <w:pPr>
        <w:keepNext w:val="0"/>
        <w:keepLines w:val="0"/>
        <w:pageBreakBefore w:val="0"/>
        <w:kinsoku/>
        <w:wordWrap/>
        <w:overflowPunct/>
        <w:topLinePunct w:val="0"/>
        <w:autoSpaceDE/>
        <w:autoSpaceDN/>
        <w:bidi w:val="0"/>
        <w:adjustRightInd/>
        <w:snapToGrid w:val="0"/>
        <w:spacing w:line="540" w:lineRule="exact"/>
        <w:ind w:right="0" w:rightChars="0"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2022年部门预算未安排购置车辆、单位价值50万元以上通用设备及单位价值100万元以上专用设备。 </w:t>
      </w:r>
    </w:p>
    <w:p>
      <w:pPr>
        <w:pStyle w:val="18"/>
        <w:keepNext w:val="0"/>
        <w:keepLines w:val="0"/>
        <w:pageBreakBefore w:val="0"/>
        <w:numPr>
          <w:ilvl w:val="0"/>
          <w:numId w:val="0"/>
        </w:numPr>
        <w:kinsoku/>
        <w:wordWrap/>
        <w:overflowPunct/>
        <w:topLinePunct w:val="0"/>
        <w:autoSpaceDE/>
        <w:autoSpaceDN/>
        <w:bidi w:val="0"/>
        <w:adjustRightInd/>
        <w:snapToGrid w:val="0"/>
        <w:spacing w:line="540" w:lineRule="exact"/>
        <w:ind w:right="0" w:rightChars="0" w:firstLine="0" w:firstLineChars="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 xml:space="preserve">    4.绩效目标设置情况</w:t>
      </w:r>
    </w:p>
    <w:p>
      <w:pPr>
        <w:keepNext w:val="0"/>
        <w:keepLines w:val="0"/>
        <w:pageBreakBefore w:val="0"/>
        <w:kinsoku/>
        <w:wordWrap/>
        <w:overflowPunct/>
        <w:topLinePunct w:val="0"/>
        <w:autoSpaceDE/>
        <w:autoSpaceDN/>
        <w:bidi w:val="0"/>
        <w:adjustRightInd/>
        <w:snapToGrid w:val="0"/>
        <w:spacing w:line="540" w:lineRule="exact"/>
        <w:ind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2022年衢州市财政国库支付中心一般类项目一般公共预算当年拨款0万元，一级项目0个。</w:t>
      </w:r>
    </w:p>
    <w:p>
      <w:pPr>
        <w:pStyle w:val="18"/>
        <w:keepNext w:val="0"/>
        <w:keepLines w:val="0"/>
        <w:pageBreakBefore w:val="0"/>
        <w:kinsoku/>
        <w:wordWrap/>
        <w:overflowPunct/>
        <w:topLinePunct w:val="0"/>
        <w:autoSpaceDE/>
        <w:autoSpaceDN/>
        <w:bidi w:val="0"/>
        <w:adjustRightInd/>
        <w:snapToGrid w:val="0"/>
        <w:spacing w:line="540" w:lineRule="exact"/>
        <w:ind w:right="0" w:rightChars="0" w:firstLine="640" w:firstLineChars="200"/>
        <w:textAlignment w:val="auto"/>
        <w:outlineLvl w:val="9"/>
        <w:rPr>
          <w:rStyle w:val="9"/>
          <w:rFonts w:hint="eastAsia" w:ascii="黑体" w:hAnsi="黑体" w:eastAsia="黑体" w:cs="黑体"/>
          <w:b w:val="0"/>
          <w:bCs w:val="0"/>
          <w:sz w:val="32"/>
          <w:szCs w:val="32"/>
          <w:highlight w:val="none"/>
        </w:rPr>
      </w:pPr>
      <w:r>
        <w:rPr>
          <w:rStyle w:val="9"/>
          <w:rFonts w:hint="eastAsia" w:ascii="黑体" w:hAnsi="黑体" w:eastAsia="黑体" w:cs="黑体"/>
          <w:b w:val="0"/>
          <w:bCs w:val="0"/>
          <w:sz w:val="32"/>
          <w:szCs w:val="32"/>
          <w:highlight w:val="none"/>
        </w:rPr>
        <w:t>三、名词解释</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1.财政拨款收入：本级财政部门当年拨付的财政预算资金，包括一般公共预算财政拨款和政府性基金预算财政拨款。</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2.事业收入：事业单位开展专业业务活动及辅助活动所取得的收入，不含专户资金收入。</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3.其他收入：预算单位在“一般公共预算”“政府性基金”“专户资金”“事业收入”“事业单位经营收入”等之外取得的各项收入（含上级补助收入和附属单位缴款等收入）。</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4.基本支出：是预算单位为保障其正常运转，完成日常工作任务所发生的支出，包括人员支出和日常公用支出。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5.项目支出：是预算单位为完成其特定的行政工作任务或事业发展目标所发生的支出。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7.机关运行经费：指为保障行政单位（含参照公务员法管理的事业单位）运行用于购买货物和服务的各项资金，包</w:t>
      </w:r>
      <w:r>
        <w:rPr>
          <w:rFonts w:hint="eastAsia" w:ascii="仿宋_GB2312" w:hAnsi="仿宋_GB2312" w:eastAsia="仿宋_GB2312" w:cs="仿宋_GB2312"/>
          <w:b w:val="0"/>
          <w:bCs w:val="0"/>
          <w:color w:val="auto"/>
          <w:sz w:val="32"/>
          <w:szCs w:val="32"/>
          <w:highlight w:val="none"/>
          <w:lang w:val="en-US" w:eastAsia="zh-CN"/>
        </w:rPr>
        <w:t>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pacing w:before="0" w:beforeLines="0" w:after="0" w:afterLines="0" w:line="580" w:lineRule="exact"/>
        <w:ind w:right="0" w:rightChars="0" w:firstLine="640" w:firstLineChars="200"/>
        <w:jc w:val="left"/>
        <w:textAlignment w:val="auto"/>
        <w:rPr>
          <w:rFonts w:hint="eastAsia" w:ascii="仿宋_GB2312" w:eastAsia="仿宋_GB2312"/>
          <w:b w:val="0"/>
          <w:bCs w:val="0"/>
          <w:sz w:val="32"/>
          <w:szCs w:val="32"/>
          <w:highlight w:val="none"/>
        </w:rPr>
      </w:pPr>
      <w:r>
        <w:rPr>
          <w:rFonts w:hint="eastAsia" w:ascii="仿宋_GB2312" w:eastAsia="仿宋_GB2312"/>
          <w:b w:val="0"/>
          <w:bCs w:val="0"/>
          <w:sz w:val="32"/>
          <w:szCs w:val="32"/>
          <w:highlight w:val="none"/>
          <w:lang w:val="en-US" w:eastAsia="zh-CN"/>
        </w:rPr>
        <w:t>8</w:t>
      </w:r>
      <w:r>
        <w:rPr>
          <w:rFonts w:hint="eastAsia" w:ascii="仿宋_GB2312" w:eastAsia="仿宋_GB2312"/>
          <w:b w:val="0"/>
          <w:bCs w:val="0"/>
          <w:sz w:val="32"/>
          <w:szCs w:val="32"/>
          <w:highlight w:val="none"/>
        </w:rPr>
        <w:t>.一般公共服务支出（类）财政事务（款）行政运行（项）：指局本级及下属实行公务员管理事业单位的基本支出。</w:t>
      </w:r>
    </w:p>
    <w:p>
      <w:pPr>
        <w:keepNext w:val="0"/>
        <w:keepLines w:val="0"/>
        <w:pageBreakBefore w:val="0"/>
        <w:kinsoku/>
        <w:wordWrap/>
        <w:overflowPunct/>
        <w:topLinePunct w:val="0"/>
        <w:autoSpaceDE/>
        <w:autoSpaceDN/>
        <w:bidi w:val="0"/>
        <w:adjustRightInd/>
        <w:spacing w:before="0" w:beforeLines="0" w:after="0" w:afterLines="0" w:line="580" w:lineRule="exact"/>
        <w:ind w:right="0" w:rightChars="0" w:firstLine="640" w:firstLineChars="200"/>
        <w:textAlignment w:val="auto"/>
        <w:rPr>
          <w:rFonts w:hint="eastAsia" w:ascii="仿宋_GB2312" w:eastAsia="仿宋_GB2312"/>
          <w:b w:val="0"/>
          <w:bCs w:val="0"/>
          <w:sz w:val="32"/>
          <w:szCs w:val="32"/>
          <w:highlight w:val="none"/>
        </w:rPr>
      </w:pPr>
      <w:r>
        <w:rPr>
          <w:rFonts w:hint="eastAsia" w:ascii="仿宋_GB2312" w:eastAsia="仿宋_GB2312"/>
          <w:b w:val="0"/>
          <w:bCs w:val="0"/>
          <w:sz w:val="32"/>
          <w:szCs w:val="32"/>
          <w:highlight w:val="none"/>
          <w:lang w:val="en-US" w:eastAsia="zh-CN"/>
        </w:rPr>
        <w:t>9</w:t>
      </w:r>
      <w:r>
        <w:rPr>
          <w:rFonts w:hint="eastAsia" w:ascii="仿宋_GB2312" w:eastAsia="仿宋_GB2312"/>
          <w:b w:val="0"/>
          <w:bCs w:val="0"/>
          <w:sz w:val="32"/>
          <w:szCs w:val="32"/>
          <w:highlight w:val="none"/>
        </w:rPr>
        <w:t>.一般公共服务支出（类）财政事务（款）一般行政管理事务（项）：指局本级未单独设置项级科目的其他项目支出。</w:t>
      </w:r>
    </w:p>
    <w:p>
      <w:pPr>
        <w:keepNext w:val="0"/>
        <w:keepLines w:val="0"/>
        <w:pageBreakBefore w:val="0"/>
        <w:kinsoku/>
        <w:wordWrap/>
        <w:overflowPunct/>
        <w:topLinePunct w:val="0"/>
        <w:autoSpaceDE/>
        <w:autoSpaceDN/>
        <w:bidi w:val="0"/>
        <w:adjustRightInd/>
        <w:spacing w:before="0" w:beforeLines="0" w:after="0" w:afterLines="0" w:line="580" w:lineRule="exact"/>
        <w:ind w:right="0" w:rightChars="0" w:firstLine="640" w:firstLineChars="200"/>
        <w:textAlignment w:val="auto"/>
        <w:rPr>
          <w:rFonts w:hint="eastAsia" w:ascii="仿宋_GB2312" w:eastAsia="仿宋_GB2312"/>
          <w:b w:val="0"/>
          <w:bCs w:val="0"/>
          <w:sz w:val="32"/>
          <w:szCs w:val="32"/>
          <w:highlight w:val="none"/>
        </w:rPr>
      </w:pPr>
      <w:r>
        <w:rPr>
          <w:rFonts w:hint="eastAsia" w:ascii="仿宋_GB2312" w:eastAsia="仿宋_GB2312"/>
          <w:b w:val="0"/>
          <w:bCs w:val="0"/>
          <w:sz w:val="32"/>
          <w:szCs w:val="32"/>
          <w:highlight w:val="none"/>
          <w:lang w:val="en-US" w:eastAsia="zh-CN"/>
        </w:rPr>
        <w:t>10</w:t>
      </w:r>
      <w:r>
        <w:rPr>
          <w:rFonts w:hint="eastAsia" w:ascii="仿宋_GB2312" w:eastAsia="仿宋_GB2312"/>
          <w:b w:val="0"/>
          <w:bCs w:val="0"/>
          <w:sz w:val="32"/>
          <w:szCs w:val="32"/>
          <w:highlight w:val="none"/>
        </w:rPr>
        <w:t>.一般公共服务支出（类）财政事务（款）其他财政事务支出（项）：指除上述项目以外的其他财政事务方面的支出。</w:t>
      </w:r>
    </w:p>
    <w:p>
      <w:pPr>
        <w:keepNext w:val="0"/>
        <w:keepLines w:val="0"/>
        <w:pageBreakBefore w:val="0"/>
        <w:kinsoku/>
        <w:wordWrap/>
        <w:overflowPunct/>
        <w:topLinePunct w:val="0"/>
        <w:autoSpaceDE/>
        <w:autoSpaceDN/>
        <w:bidi w:val="0"/>
        <w:adjustRightInd/>
        <w:spacing w:before="0" w:beforeLines="0" w:after="0" w:afterLines="0" w:line="580" w:lineRule="exact"/>
        <w:ind w:right="0" w:rightChars="0" w:firstLine="960" w:firstLineChars="300"/>
        <w:textAlignment w:val="auto"/>
        <w:rPr>
          <w:rFonts w:hint="eastAsia" w:ascii="仿宋_GB2312" w:eastAsia="仿宋_GB2312"/>
          <w:b w:val="0"/>
          <w:bCs w:val="0"/>
          <w:sz w:val="32"/>
          <w:szCs w:val="32"/>
          <w:highlight w:val="none"/>
        </w:rPr>
      </w:pPr>
      <w:r>
        <w:rPr>
          <w:rFonts w:hint="eastAsia" w:ascii="仿宋_GB2312" w:eastAsia="仿宋_GB2312"/>
          <w:b w:val="0"/>
          <w:bCs w:val="0"/>
          <w:sz w:val="32"/>
          <w:szCs w:val="32"/>
          <w:highlight w:val="none"/>
        </w:rPr>
        <w:t>11.社会保障和就业支出（类）行政事业单位养老支出（款）机关事业单位基本养老保险缴费支出（项）：指局本级和局属事业单位实施养老保险制度由单位缴纳的基本养老保险费支出。</w:t>
      </w:r>
    </w:p>
    <w:p>
      <w:pPr>
        <w:keepNext w:val="0"/>
        <w:keepLines w:val="0"/>
        <w:pageBreakBefore w:val="0"/>
        <w:kinsoku/>
        <w:wordWrap/>
        <w:overflowPunct/>
        <w:topLinePunct w:val="0"/>
        <w:autoSpaceDE/>
        <w:autoSpaceDN/>
        <w:bidi w:val="0"/>
        <w:adjustRightInd/>
        <w:spacing w:before="0" w:beforeLines="0" w:after="0" w:afterLines="0" w:line="580" w:lineRule="exact"/>
        <w:ind w:right="0" w:rightChars="0" w:firstLine="960" w:firstLineChars="300"/>
        <w:textAlignment w:val="auto"/>
        <w:rPr>
          <w:rFonts w:hint="eastAsia" w:ascii="仿宋_GB2312" w:eastAsia="仿宋_GB2312"/>
          <w:b w:val="0"/>
          <w:bCs w:val="0"/>
          <w:sz w:val="32"/>
          <w:szCs w:val="32"/>
          <w:highlight w:val="none"/>
        </w:rPr>
      </w:pPr>
      <w:r>
        <w:rPr>
          <w:rFonts w:hint="eastAsia" w:ascii="仿宋_GB2312" w:eastAsia="仿宋_GB2312"/>
          <w:b w:val="0"/>
          <w:bCs w:val="0"/>
          <w:sz w:val="32"/>
          <w:szCs w:val="32"/>
          <w:highlight w:val="none"/>
        </w:rPr>
        <w:t>12.社会保障和就业支出（类）行政事业单位养老支出（款）机关事业单位职业年金缴费支出（项）：指局本级和局属事业单位实施养老保险制度由单位实际缴纳的职业年金支出。</w:t>
      </w:r>
    </w:p>
    <w:p>
      <w:pPr>
        <w:keepNext w:val="0"/>
        <w:keepLines w:val="0"/>
        <w:pageBreakBefore w:val="0"/>
        <w:kinsoku/>
        <w:wordWrap/>
        <w:overflowPunct/>
        <w:topLinePunct w:val="0"/>
        <w:autoSpaceDE/>
        <w:autoSpaceDN/>
        <w:bidi w:val="0"/>
        <w:adjustRightInd/>
        <w:spacing w:before="0" w:beforeLines="0" w:after="0" w:afterLines="0" w:line="580" w:lineRule="exact"/>
        <w:ind w:right="0" w:rightChars="0" w:firstLine="640" w:firstLineChars="200"/>
        <w:textAlignment w:val="auto"/>
        <w:rPr>
          <w:rFonts w:hint="eastAsia" w:ascii="仿宋_GB2312" w:eastAsia="仿宋_GB2312"/>
          <w:b w:val="0"/>
          <w:bCs w:val="0"/>
          <w:sz w:val="32"/>
          <w:szCs w:val="32"/>
          <w:highlight w:val="none"/>
        </w:rPr>
      </w:pPr>
      <w:r>
        <w:rPr>
          <w:rFonts w:hint="eastAsia" w:ascii="仿宋_GB2312" w:eastAsia="仿宋_GB2312"/>
          <w:b w:val="0"/>
          <w:bCs w:val="0"/>
          <w:sz w:val="32"/>
          <w:szCs w:val="32"/>
          <w:highlight w:val="none"/>
        </w:rPr>
        <w:t xml:space="preserve"> </w:t>
      </w:r>
      <w:r>
        <w:rPr>
          <w:rFonts w:hint="eastAsia" w:ascii="仿宋_GB2312" w:eastAsia="仿宋_GB2312"/>
          <w:b w:val="0"/>
          <w:bCs w:val="0"/>
          <w:sz w:val="32"/>
          <w:szCs w:val="32"/>
          <w:highlight w:val="none"/>
          <w:lang w:val="en-US" w:eastAsia="zh-CN"/>
        </w:rPr>
        <w:t>13.</w:t>
      </w:r>
      <w:r>
        <w:rPr>
          <w:rFonts w:hint="eastAsia" w:ascii="仿宋_GB2312" w:eastAsia="仿宋_GB2312"/>
          <w:b w:val="0"/>
          <w:bCs w:val="0"/>
          <w:sz w:val="32"/>
          <w:szCs w:val="32"/>
          <w:highlight w:val="none"/>
        </w:rPr>
        <w:t>社会保障和就业支出（类）行政事业单位养老支出（款）其他行政事业单位</w:t>
      </w:r>
      <w:r>
        <w:rPr>
          <w:rFonts w:hint="eastAsia" w:ascii="仿宋_GB2312" w:eastAsia="仿宋_GB2312"/>
          <w:b w:val="0"/>
          <w:bCs w:val="0"/>
          <w:sz w:val="32"/>
          <w:szCs w:val="32"/>
          <w:highlight w:val="none"/>
          <w:lang w:eastAsia="zh-CN"/>
        </w:rPr>
        <w:t>养老</w:t>
      </w:r>
      <w:r>
        <w:rPr>
          <w:rFonts w:hint="eastAsia" w:ascii="仿宋_GB2312" w:eastAsia="仿宋_GB2312"/>
          <w:b w:val="0"/>
          <w:bCs w:val="0"/>
          <w:sz w:val="32"/>
          <w:szCs w:val="32"/>
          <w:highlight w:val="none"/>
        </w:rPr>
        <w:t>支出（项）</w:t>
      </w:r>
      <w:r>
        <w:rPr>
          <w:rFonts w:hint="eastAsia" w:ascii="仿宋_GB2312" w:eastAsia="仿宋_GB2312"/>
          <w:b w:val="0"/>
          <w:bCs w:val="0"/>
          <w:sz w:val="32"/>
          <w:szCs w:val="32"/>
          <w:highlight w:val="none"/>
          <w:lang w:val="en-US" w:eastAsia="zh-CN"/>
        </w:rPr>
        <w:t>139.52</w:t>
      </w:r>
      <w:r>
        <w:rPr>
          <w:rFonts w:hint="eastAsia" w:ascii="仿宋_GB2312" w:eastAsia="仿宋_GB2312"/>
          <w:b w:val="0"/>
          <w:bCs w:val="0"/>
          <w:sz w:val="32"/>
          <w:szCs w:val="32"/>
          <w:highlight w:val="none"/>
        </w:rPr>
        <w:t>万元，主要用于局本级和局属事业单位离休干部经费。</w:t>
      </w:r>
    </w:p>
    <w:p>
      <w:pPr>
        <w:pStyle w:val="2"/>
        <w:rPr>
          <w:rFonts w:hint="default" w:eastAsia="仿宋_GB2312"/>
          <w:b w:val="0"/>
          <w:bCs w:val="0"/>
          <w:highlight w:val="none"/>
          <w:lang w:val="en-US" w:eastAsia="zh-CN"/>
        </w:rPr>
      </w:pPr>
      <w:r>
        <w:rPr>
          <w:rFonts w:hint="eastAsia"/>
          <w:b w:val="0"/>
          <w:bCs w:val="0"/>
          <w:sz w:val="32"/>
          <w:szCs w:val="32"/>
          <w:highlight w:val="none"/>
          <w:lang w:val="en-US" w:eastAsia="zh-CN"/>
        </w:rPr>
        <w:t xml:space="preserve">    14.</w:t>
      </w:r>
      <w:r>
        <w:rPr>
          <w:rFonts w:hint="eastAsia" w:ascii="仿宋_GB2312" w:eastAsia="仿宋_GB2312"/>
          <w:b w:val="0"/>
          <w:bCs w:val="0"/>
          <w:sz w:val="32"/>
          <w:szCs w:val="32"/>
          <w:highlight w:val="none"/>
        </w:rPr>
        <w:t>社会保障和就业支出（类）</w:t>
      </w:r>
      <w:r>
        <w:rPr>
          <w:rFonts w:hint="eastAsia"/>
          <w:b w:val="0"/>
          <w:bCs w:val="0"/>
          <w:sz w:val="32"/>
          <w:szCs w:val="32"/>
          <w:highlight w:val="none"/>
          <w:lang w:eastAsia="zh-CN"/>
        </w:rPr>
        <w:t>财政对其他社会保险基金的补助</w:t>
      </w:r>
      <w:r>
        <w:rPr>
          <w:rFonts w:hint="eastAsia" w:ascii="仿宋_GB2312" w:eastAsia="仿宋_GB2312"/>
          <w:b w:val="0"/>
          <w:bCs w:val="0"/>
          <w:sz w:val="32"/>
          <w:szCs w:val="32"/>
          <w:highlight w:val="none"/>
        </w:rPr>
        <w:t>（款）其他</w:t>
      </w:r>
      <w:r>
        <w:rPr>
          <w:rFonts w:hint="eastAsia"/>
          <w:b w:val="0"/>
          <w:bCs w:val="0"/>
          <w:sz w:val="32"/>
          <w:szCs w:val="32"/>
          <w:highlight w:val="none"/>
          <w:lang w:eastAsia="zh-CN"/>
        </w:rPr>
        <w:t>财政对社会保险基金的补助</w:t>
      </w:r>
      <w:r>
        <w:rPr>
          <w:rFonts w:hint="eastAsia" w:ascii="仿宋_GB2312" w:eastAsia="仿宋_GB2312"/>
          <w:b w:val="0"/>
          <w:bCs w:val="0"/>
          <w:sz w:val="32"/>
          <w:szCs w:val="32"/>
          <w:highlight w:val="none"/>
        </w:rPr>
        <w:t>（项）</w:t>
      </w:r>
      <w:r>
        <w:rPr>
          <w:rFonts w:hint="eastAsia"/>
          <w:b w:val="0"/>
          <w:bCs w:val="0"/>
          <w:sz w:val="32"/>
          <w:szCs w:val="32"/>
          <w:highlight w:val="none"/>
          <w:lang w:val="en-US" w:eastAsia="zh-CN"/>
        </w:rPr>
        <w:t>78.84</w:t>
      </w:r>
      <w:r>
        <w:rPr>
          <w:rFonts w:hint="eastAsia" w:ascii="仿宋_GB2312" w:eastAsia="仿宋_GB2312"/>
          <w:b w:val="0"/>
          <w:bCs w:val="0"/>
          <w:sz w:val="32"/>
          <w:szCs w:val="32"/>
          <w:highlight w:val="none"/>
        </w:rPr>
        <w:t>万元，主要用于局本级和局属事业单位</w:t>
      </w:r>
      <w:r>
        <w:rPr>
          <w:rFonts w:hint="eastAsia"/>
          <w:b w:val="0"/>
          <w:bCs w:val="0"/>
          <w:sz w:val="32"/>
          <w:szCs w:val="32"/>
          <w:highlight w:val="none"/>
          <w:lang w:eastAsia="zh-CN"/>
        </w:rPr>
        <w:t>公务员医疗补助费用支出</w:t>
      </w:r>
      <w:r>
        <w:rPr>
          <w:rFonts w:hint="eastAsia" w:ascii="仿宋_GB2312" w:eastAsia="仿宋_GB2312"/>
          <w:b w:val="0"/>
          <w:bCs w:val="0"/>
          <w:sz w:val="32"/>
          <w:szCs w:val="32"/>
          <w:highlight w:val="none"/>
        </w:rPr>
        <w:t>。</w:t>
      </w:r>
    </w:p>
    <w:p>
      <w:pPr>
        <w:keepNext w:val="0"/>
        <w:keepLines w:val="0"/>
        <w:pageBreakBefore w:val="0"/>
        <w:kinsoku/>
        <w:wordWrap/>
        <w:overflowPunct/>
        <w:topLinePunct w:val="0"/>
        <w:autoSpaceDE/>
        <w:autoSpaceDN/>
        <w:bidi w:val="0"/>
        <w:adjustRightInd/>
        <w:spacing w:before="0" w:beforeLines="0" w:after="0" w:afterLines="0" w:line="580" w:lineRule="exact"/>
        <w:ind w:right="0" w:rightChars="0" w:firstLine="640" w:firstLineChars="200"/>
        <w:textAlignment w:val="auto"/>
        <w:rPr>
          <w:b w:val="0"/>
          <w:bCs w:val="0"/>
          <w:highlight w:val="none"/>
        </w:rPr>
      </w:pPr>
      <w:r>
        <w:rPr>
          <w:rFonts w:hint="eastAsia" w:ascii="仿宋_GB2312" w:eastAsia="仿宋_GB2312"/>
          <w:b w:val="0"/>
          <w:bCs w:val="0"/>
          <w:sz w:val="32"/>
          <w:szCs w:val="32"/>
          <w:highlight w:val="none"/>
        </w:rPr>
        <w:t>1</w:t>
      </w:r>
      <w:r>
        <w:rPr>
          <w:rFonts w:hint="eastAsia" w:ascii="仿宋_GB2312" w:eastAsia="仿宋_GB2312"/>
          <w:b w:val="0"/>
          <w:bCs w:val="0"/>
          <w:sz w:val="32"/>
          <w:szCs w:val="32"/>
          <w:highlight w:val="none"/>
          <w:lang w:val="en-US" w:eastAsia="zh-CN"/>
        </w:rPr>
        <w:t>5</w:t>
      </w:r>
      <w:r>
        <w:rPr>
          <w:rFonts w:hint="eastAsia" w:ascii="仿宋_GB2312" w:eastAsia="仿宋_GB2312"/>
          <w:b w:val="0"/>
          <w:bCs w:val="0"/>
          <w:sz w:val="32"/>
          <w:szCs w:val="32"/>
          <w:highlight w:val="none"/>
        </w:rPr>
        <w:t>.住房保障支出（类）住房改革支出（款）住房公积金（项）：指局本级和局属事业单位按照国家政策规定为干部职工缴纳的住房公积金支出。</w:t>
      </w:r>
    </w:p>
    <w:p>
      <w:pPr>
        <w:spacing w:line="520" w:lineRule="exact"/>
        <w:rPr>
          <w:highlight w:val="none"/>
        </w:rPr>
      </w:pPr>
    </w:p>
    <w:p>
      <w:pPr>
        <w:pStyle w:val="2"/>
        <w:numPr>
          <w:ilvl w:val="0"/>
          <w:numId w:val="0"/>
        </w:numPr>
        <w:ind w:left="160" w:leftChars="0"/>
        <w:rPr>
          <w:rFonts w:hint="eastAsia"/>
          <w:highlight w:val="none"/>
        </w:rPr>
      </w:pPr>
    </w:p>
    <w:p>
      <w:pPr>
        <w:pStyle w:val="2"/>
        <w:numPr>
          <w:ilvl w:val="0"/>
          <w:numId w:val="0"/>
        </w:numPr>
        <w:ind w:left="160" w:leftChars="0"/>
        <w:rPr>
          <w:rFonts w:hint="eastAsia"/>
          <w:highlight w:val="none"/>
        </w:rPr>
      </w:pPr>
    </w:p>
    <w:p>
      <w:pPr>
        <w:pStyle w:val="2"/>
        <w:numPr>
          <w:ilvl w:val="0"/>
          <w:numId w:val="0"/>
        </w:numPr>
        <w:ind w:left="160" w:leftChars="0"/>
        <w:rPr>
          <w:rFonts w:hint="eastAsia"/>
          <w:highlight w:val="none"/>
        </w:rPr>
      </w:pPr>
    </w:p>
    <w:p>
      <w:pPr>
        <w:pStyle w:val="2"/>
        <w:numPr>
          <w:ilvl w:val="0"/>
          <w:numId w:val="0"/>
        </w:numPr>
        <w:ind w:left="160" w:leftChars="0"/>
        <w:rPr>
          <w:rFonts w:hint="eastAsia"/>
          <w:highlight w:val="none"/>
        </w:rPr>
      </w:pPr>
    </w:p>
    <w:p>
      <w:pPr>
        <w:pStyle w:val="2"/>
        <w:numPr>
          <w:ilvl w:val="0"/>
          <w:numId w:val="0"/>
        </w:numPr>
        <w:ind w:left="160" w:leftChars="0"/>
        <w:rPr>
          <w:rFonts w:hint="eastAsia"/>
          <w:highlight w:val="none"/>
        </w:rPr>
      </w:pPr>
    </w:p>
    <w:p>
      <w:pPr>
        <w:pStyle w:val="2"/>
        <w:rPr>
          <w:rStyle w:val="9"/>
          <w:rFonts w:hint="eastAsia" w:ascii="黑体" w:eastAsia="黑体"/>
          <w:b w:val="0"/>
          <w:color w:val="000000"/>
          <w:sz w:val="32"/>
          <w:szCs w:val="32"/>
          <w:highlight w:val="none"/>
        </w:rPr>
      </w:pPr>
    </w:p>
    <w:p>
      <w:pPr>
        <w:pStyle w:val="2"/>
        <w:rPr>
          <w:rStyle w:val="9"/>
          <w:rFonts w:hint="eastAsia" w:ascii="黑体" w:eastAsia="黑体"/>
          <w:b w:val="0"/>
          <w:color w:val="000000"/>
          <w:sz w:val="32"/>
          <w:szCs w:val="32"/>
          <w:highlight w:val="none"/>
        </w:rPr>
      </w:pPr>
    </w:p>
    <w:p>
      <w:pPr>
        <w:pStyle w:val="2"/>
        <w:rPr>
          <w:rStyle w:val="9"/>
          <w:rFonts w:hint="eastAsia" w:ascii="黑体" w:eastAsia="黑体"/>
          <w:b w:val="0"/>
          <w:color w:val="000000"/>
          <w:sz w:val="32"/>
          <w:szCs w:val="32"/>
          <w:highlight w:val="none"/>
        </w:rPr>
      </w:pPr>
    </w:p>
    <w:p>
      <w:pPr>
        <w:pStyle w:val="2"/>
        <w:rPr>
          <w:rStyle w:val="9"/>
          <w:rFonts w:hint="eastAsia" w:ascii="黑体" w:eastAsia="黑体"/>
          <w:b w:val="0"/>
          <w:color w:val="000000"/>
          <w:sz w:val="32"/>
          <w:szCs w:val="32"/>
          <w:highlight w:val="none"/>
        </w:rPr>
      </w:pPr>
    </w:p>
    <w:p>
      <w:pPr>
        <w:spacing w:line="520" w:lineRule="exact"/>
        <w:rPr>
          <w:highlight w:val="none"/>
        </w:rPr>
      </w:pPr>
    </w:p>
    <w:bookmarkEnd w:id="0"/>
    <w:sectPr>
      <w:headerReference r:id="rId3" w:type="default"/>
      <w:footerReference r:id="rId4" w:type="default"/>
      <w:pgSz w:w="11906" w:h="16838"/>
      <w:pgMar w:top="1440" w:right="1800" w:bottom="1440" w:left="1800" w:header="851" w:footer="992" w:gutter="0"/>
      <w:pgNumType w:fmt="decimal"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99740"/>
    <w:multiLevelType w:val="singleLevel"/>
    <w:tmpl w:val="83F99740"/>
    <w:lvl w:ilvl="0" w:tentative="0">
      <w:start w:val="8"/>
      <w:numFmt w:val="chineseCounting"/>
      <w:suff w:val="nothing"/>
      <w:lvlText w:val="（%1）"/>
      <w:lvlJc w:val="left"/>
      <w:rPr>
        <w:rFonts w:hint="eastAsia"/>
      </w:rPr>
    </w:lvl>
  </w:abstractNum>
  <w:abstractNum w:abstractNumId="1">
    <w:nsid w:val="5893F62F"/>
    <w:multiLevelType w:val="singleLevel"/>
    <w:tmpl w:val="5893F62F"/>
    <w:lvl w:ilvl="0" w:tentative="0">
      <w:start w:val="2"/>
      <w:numFmt w:val="decimal"/>
      <w:suff w:val="nothing"/>
      <w:lvlText w:val="%1."/>
      <w:lvlJc w:val="left"/>
    </w:lvl>
  </w:abstractNum>
  <w:abstractNum w:abstractNumId="2">
    <w:nsid w:val="5895A99C"/>
    <w:multiLevelType w:val="singleLevel"/>
    <w:tmpl w:val="5895A99C"/>
    <w:lvl w:ilvl="0" w:tentative="0">
      <w:start w:val="5"/>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OGViMDkwNTU0OTU2MWJmNDQxNDBjNjRhMGNkMDIifQ=="/>
  </w:docVars>
  <w:rsids>
    <w:rsidRoot w:val="00000000"/>
    <w:rsid w:val="0432483D"/>
    <w:rsid w:val="066303ED"/>
    <w:rsid w:val="0C014F6D"/>
    <w:rsid w:val="10BA2E08"/>
    <w:rsid w:val="11641E21"/>
    <w:rsid w:val="125B4450"/>
    <w:rsid w:val="16EF5067"/>
    <w:rsid w:val="1ED74D17"/>
    <w:rsid w:val="245B3CCB"/>
    <w:rsid w:val="255258CA"/>
    <w:rsid w:val="26E82133"/>
    <w:rsid w:val="27AF99D0"/>
    <w:rsid w:val="32FF21F7"/>
    <w:rsid w:val="336C035D"/>
    <w:rsid w:val="3787034C"/>
    <w:rsid w:val="378D1B30"/>
    <w:rsid w:val="39371780"/>
    <w:rsid w:val="3A4D366A"/>
    <w:rsid w:val="3C68590C"/>
    <w:rsid w:val="3E054CA0"/>
    <w:rsid w:val="3E663D4F"/>
    <w:rsid w:val="41260B4E"/>
    <w:rsid w:val="415A1C10"/>
    <w:rsid w:val="434B0F61"/>
    <w:rsid w:val="4413460B"/>
    <w:rsid w:val="479F1816"/>
    <w:rsid w:val="4A9D440E"/>
    <w:rsid w:val="4AFA32A4"/>
    <w:rsid w:val="502D2E90"/>
    <w:rsid w:val="52BF5505"/>
    <w:rsid w:val="54C31518"/>
    <w:rsid w:val="56432923"/>
    <w:rsid w:val="5A4C444D"/>
    <w:rsid w:val="5BF9A05E"/>
    <w:rsid w:val="5CA47F6C"/>
    <w:rsid w:val="603349F4"/>
    <w:rsid w:val="63EE20F1"/>
    <w:rsid w:val="65DA2EDB"/>
    <w:rsid w:val="6B160D95"/>
    <w:rsid w:val="6ECA3F5E"/>
    <w:rsid w:val="753064B9"/>
    <w:rsid w:val="759C24D2"/>
    <w:rsid w:val="76442312"/>
    <w:rsid w:val="76DFF3BC"/>
    <w:rsid w:val="77FF0865"/>
    <w:rsid w:val="79755AE1"/>
    <w:rsid w:val="79AD5421"/>
    <w:rsid w:val="7B0902A6"/>
    <w:rsid w:val="7CFB18E8"/>
    <w:rsid w:val="7DBFC2EB"/>
    <w:rsid w:val="7FE3062C"/>
    <w:rsid w:val="A4EFB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link w:val="8"/>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Char"/>
    <w:basedOn w:val="1"/>
    <w:link w:val="7"/>
    <w:qFormat/>
    <w:uiPriority w:val="0"/>
  </w:style>
  <w:style w:type="character" w:styleId="9">
    <w:name w:val="Strong"/>
    <w:basedOn w:val="7"/>
    <w:qFormat/>
    <w:uiPriority w:val="0"/>
    <w:rPr>
      <w:b/>
      <w:bCs/>
    </w:rPr>
  </w:style>
  <w:style w:type="character" w:styleId="10">
    <w:name w:val="page number"/>
    <w:basedOn w:val="7"/>
    <w:qFormat/>
    <w:uiPriority w:val="0"/>
  </w:style>
  <w:style w:type="character" w:styleId="11">
    <w:name w:val="FollowedHyperlink"/>
    <w:basedOn w:val="7"/>
    <w:qFormat/>
    <w:uiPriority w:val="0"/>
    <w:rPr>
      <w:color w:val="800080"/>
      <w:u w:val="none"/>
    </w:rPr>
  </w:style>
  <w:style w:type="character" w:styleId="12">
    <w:name w:val="HTML Definition"/>
    <w:basedOn w:val="7"/>
    <w:qFormat/>
    <w:uiPriority w:val="0"/>
  </w:style>
  <w:style w:type="character" w:styleId="13">
    <w:name w:val="HTML Variable"/>
    <w:basedOn w:val="7"/>
    <w:qFormat/>
    <w:uiPriority w:val="0"/>
  </w:style>
  <w:style w:type="character" w:styleId="14">
    <w:name w:val="Hyperlink"/>
    <w:basedOn w:val="7"/>
    <w:qFormat/>
    <w:uiPriority w:val="0"/>
    <w:rPr>
      <w:color w:val="0000FF"/>
      <w:u w:val="none"/>
    </w:rPr>
  </w:style>
  <w:style w:type="character" w:styleId="15">
    <w:name w:val="HTML Code"/>
    <w:basedOn w:val="7"/>
    <w:qFormat/>
    <w:uiPriority w:val="0"/>
    <w:rPr>
      <w:rFonts w:ascii="Courier New" w:hAnsi="Courier New"/>
      <w:sz w:val="20"/>
    </w:rPr>
  </w:style>
  <w:style w:type="character" w:styleId="16">
    <w:name w:val="HTML Cite"/>
    <w:basedOn w:val="7"/>
    <w:qFormat/>
    <w:uiPriority w:val="0"/>
  </w:style>
  <w:style w:type="paragraph" w:customStyle="1" w:styleId="17">
    <w:name w:val=" Char"/>
    <w:basedOn w:val="1"/>
    <w:link w:val="7"/>
    <w:qFormat/>
    <w:uiPriority w:val="0"/>
    <w:rPr>
      <w:rFonts w:ascii="宋体" w:hAnsi="宋体" w:cs="Courier New"/>
      <w:sz w:val="32"/>
      <w:szCs w:val="32"/>
    </w:rPr>
  </w:style>
  <w:style w:type="paragraph" w:customStyle="1" w:styleId="18">
    <w:name w:val="p0"/>
    <w:basedOn w:val="1"/>
    <w:qFormat/>
    <w:uiPriority w:val="0"/>
    <w:pPr>
      <w:widowControl/>
    </w:pPr>
    <w:rPr>
      <w:kern w:val="0"/>
      <w:szCs w:val="21"/>
    </w:rPr>
  </w:style>
  <w:style w:type="character" w:customStyle="1" w:styleId="19">
    <w:name w:val="item-middle"/>
    <w:basedOn w:val="7"/>
    <w:qFormat/>
    <w:uiPriority w:val="0"/>
  </w:style>
  <w:style w:type="character" w:customStyle="1" w:styleId="20">
    <w:name w:val="image"/>
    <w:basedOn w:val="7"/>
    <w:qFormat/>
    <w:uiPriority w:val="0"/>
  </w:style>
  <w:style w:type="character" w:customStyle="1" w:styleId="21">
    <w:name w:val="image2"/>
    <w:basedOn w:val="7"/>
    <w:qFormat/>
    <w:uiPriority w:val="0"/>
  </w:style>
  <w:style w:type="character" w:customStyle="1" w:styleId="22">
    <w:name w:val="image3"/>
    <w:basedOn w:val="7"/>
    <w:qFormat/>
    <w:uiPriority w:val="0"/>
  </w:style>
  <w:style w:type="character" w:customStyle="1" w:styleId="23">
    <w:name w:val="ui-state-hover21"/>
    <w:basedOn w:val="7"/>
    <w:qFormat/>
    <w:uiPriority w:val="0"/>
  </w:style>
  <w:style w:type="character" w:customStyle="1" w:styleId="24">
    <w:name w:val="ui-state-active5"/>
    <w:basedOn w:val="7"/>
    <w:qFormat/>
    <w:uiPriority w:val="0"/>
  </w:style>
  <w:style w:type="character" w:customStyle="1" w:styleId="25">
    <w:name w:val="ui-state-default12"/>
    <w:basedOn w:val="7"/>
    <w:qFormat/>
    <w:uiPriority w:val="0"/>
  </w:style>
  <w:style w:type="character" w:customStyle="1" w:styleId="26">
    <w:name w:val="ui-state-default13"/>
    <w:basedOn w:val="7"/>
    <w:qFormat/>
    <w:uiPriority w:val="0"/>
  </w:style>
  <w:style w:type="character" w:customStyle="1" w:styleId="27">
    <w:name w:val="clicked1"/>
    <w:basedOn w:val="7"/>
    <w:qFormat/>
    <w:uiPriority w:val="0"/>
    <w:rPr>
      <w:color w:val="000000"/>
    </w:rPr>
  </w:style>
  <w:style w:type="character" w:customStyle="1" w:styleId="28">
    <w:name w:val="clicked2"/>
    <w:basedOn w:val="7"/>
    <w:qFormat/>
    <w:uiPriority w:val="0"/>
  </w:style>
  <w:style w:type="character" w:customStyle="1" w:styleId="29">
    <w:name w:val="clicked3"/>
    <w:basedOn w:val="7"/>
    <w:qFormat/>
    <w:uiPriority w:val="0"/>
  </w:style>
  <w:style w:type="character" w:customStyle="1" w:styleId="30">
    <w:name w:val="button-hover"/>
    <w:basedOn w:val="7"/>
    <w:qFormat/>
    <w:uiPriority w:val="0"/>
  </w:style>
  <w:style w:type="character" w:customStyle="1" w:styleId="31">
    <w:name w:val="button-hover1"/>
    <w:basedOn w:val="7"/>
    <w:qFormat/>
    <w:uiPriority w:val="0"/>
  </w:style>
  <w:style w:type="character" w:customStyle="1" w:styleId="32">
    <w:name w:val="group"/>
    <w:basedOn w:val="7"/>
    <w:qFormat/>
    <w:uiPriority w:val="0"/>
  </w:style>
  <w:style w:type="character" w:customStyle="1" w:styleId="33">
    <w:name w:val="directchildrenspan"/>
    <w:basedOn w:val="7"/>
    <w:qFormat/>
    <w:uiPriority w:val="0"/>
  </w:style>
  <w:style w:type="character" w:customStyle="1" w:styleId="34">
    <w:name w:val="imgspan"/>
    <w:basedOn w:val="7"/>
    <w:qFormat/>
    <w:uiPriority w:val="0"/>
  </w:style>
  <w:style w:type="character" w:customStyle="1" w:styleId="35">
    <w:name w:val="ui-icon34"/>
    <w:basedOn w:val="7"/>
    <w:qFormat/>
    <w:uiPriority w:val="0"/>
  </w:style>
  <w:style w:type="character" w:customStyle="1" w:styleId="36">
    <w:name w:val="newstitle"/>
    <w:basedOn w:val="7"/>
    <w:qFormat/>
    <w:uiPriority w:val="0"/>
    <w:rPr>
      <w:b/>
      <w:color w:val="000000"/>
      <w:sz w:val="24"/>
      <w:szCs w:val="24"/>
    </w:rPr>
  </w:style>
  <w:style w:type="character" w:customStyle="1" w:styleId="37">
    <w:name w:val="ui-state-hover"/>
    <w:basedOn w:val="7"/>
    <w:qFormat/>
    <w:uiPriority w:val="0"/>
  </w:style>
  <w:style w:type="character" w:customStyle="1" w:styleId="38">
    <w:name w:val="image1"/>
    <w:basedOn w:val="7"/>
    <w:qFormat/>
    <w:uiPriority w:val="0"/>
  </w:style>
  <w:style w:type="character" w:customStyle="1" w:styleId="39">
    <w:name w:val="clicked"/>
    <w:basedOn w:val="7"/>
    <w:qFormat/>
    <w:uiPriority w:val="0"/>
  </w:style>
  <w:style w:type="character" w:customStyle="1" w:styleId="40">
    <w:name w:val="ui-state-active"/>
    <w:basedOn w:val="7"/>
    <w:qFormat/>
    <w:uiPriority w:val="0"/>
  </w:style>
  <w:style w:type="character" w:customStyle="1" w:styleId="41">
    <w:name w:val="ui-icon33"/>
    <w:basedOn w:val="7"/>
    <w:qFormat/>
    <w:uiPriority w:val="0"/>
  </w:style>
  <w:style w:type="character" w:customStyle="1" w:styleId="42">
    <w:name w:val="ui-state-active6"/>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96</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chengws</dc:creator>
  <cp:lastModifiedBy>admin</cp:lastModifiedBy>
  <cp:lastPrinted>2022-05-24T02:33:00Z</cp:lastPrinted>
  <dcterms:modified xsi:type="dcterms:W3CDTF">2023-08-07T07:37:41Z</dcterms:modified>
  <dc:title>附件1：省级部门预算公开说明样式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9309DA848B1943838A26ABD3CEFA1EA4_12</vt:lpwstr>
  </property>
</Properties>
</file>